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编写单位：邯钢集团衡板储运有限公司</w:t>
      </w:r>
      <w:r>
        <w:rPr>
          <w:rFonts w:hint="eastAsia" w:ascii="仿宋_GB2312" w:eastAsia="仿宋_GB2312"/>
          <w:sz w:val="18"/>
        </w:rPr>
        <w:t xml:space="preserve">                                        </w:t>
      </w:r>
      <w:r>
        <w:rPr>
          <w:rFonts w:hint="eastAsia"/>
        </w:rPr>
        <w:t xml:space="preserve"> 202</w:t>
      </w:r>
      <w:r>
        <w:rPr>
          <w:rFonts w:hint="eastAsia"/>
          <w:lang w:val="en-US" w:eastAsia="zh-CN"/>
        </w:rPr>
        <w:t>4</w:t>
      </w:r>
      <w:r>
        <w:rPr>
          <w:rFonts w:hint="eastAsia"/>
        </w:rPr>
        <w:t xml:space="preserve">年   </w:t>
      </w:r>
      <w:r>
        <w:rPr>
          <w:rFonts w:hint="eastAsia"/>
          <w:lang w:val="en-US" w:eastAsia="zh-CN"/>
        </w:rPr>
        <w:t>3</w:t>
      </w:r>
      <w:r>
        <w:rPr>
          <w:rFonts w:hint="eastAsia"/>
        </w:rPr>
        <w:t xml:space="preserve">月  </w:t>
      </w:r>
      <w:r>
        <w:rPr>
          <w:rFonts w:hint="eastAsia"/>
          <w:lang w:val="en-US" w:eastAsia="zh-CN"/>
        </w:rPr>
        <w:t>26</w:t>
      </w:r>
      <w:r>
        <w:rPr>
          <w:rFonts w:hint="eastAsia"/>
        </w:rPr>
        <w:t xml:space="preserve"> 日                 </w:t>
      </w:r>
      <w:r>
        <w:rPr>
          <w:rFonts w:hint="eastAsia" w:ascii="宋体" w:hAnsi="宋体"/>
        </w:rPr>
        <w:t>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315" w:type="dxa"/>
            <w:vAlign w:val="center"/>
          </w:tcPr>
          <w:p>
            <w:pPr>
              <w:widowControl/>
              <w:jc w:val="center"/>
              <w:rPr>
                <w:rFonts w:ascii="宋体"/>
                <w:kern w:val="0"/>
              </w:rPr>
            </w:pPr>
            <w:r>
              <w:rPr>
                <w:rFonts w:hint="eastAsia" w:ascii="宋体" w:hAnsi="宋体"/>
                <w:kern w:val="0"/>
              </w:rPr>
              <w:t>JYGK202403060</w:t>
            </w:r>
          </w:p>
        </w:tc>
        <w:tc>
          <w:tcPr>
            <w:tcW w:w="1874"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jc w:val="center"/>
              <w:rPr>
                <w:rFonts w:ascii="宋体" w:hAnsi="宋体"/>
                <w:kern w:val="0"/>
              </w:rPr>
            </w:pPr>
            <w:r>
              <w:rPr>
                <w:rFonts w:hint="eastAsia" w:ascii="宋体" w:hAnsi="宋体"/>
                <w:color w:val="000000"/>
                <w:kern w:val="0"/>
              </w:rPr>
              <w:t>邯钢集团衡板储运有限公司汽车起重机和叉车承包项目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ind w:left="560" w:firstLine="420" w:firstLineChars="200"/>
              <w:rPr>
                <w:rFonts w:ascii="宋体" w:hAnsi="宋体"/>
                <w:color w:val="000000"/>
                <w:szCs w:val="21"/>
              </w:rPr>
            </w:pPr>
            <w:r>
              <w:rPr>
                <w:rFonts w:hint="eastAsia" w:ascii="宋体" w:hAnsi="宋体"/>
                <w:kern w:val="0"/>
                <w:szCs w:val="21"/>
              </w:rPr>
              <w:t>(明细详见附件)邯钢集团衡板储运有限公司</w:t>
            </w:r>
            <w:r>
              <w:rPr>
                <w:rFonts w:hint="eastAsia" w:ascii="宋体" w:hAnsi="宋体"/>
                <w:color w:val="000000"/>
                <w:szCs w:val="21"/>
              </w:rPr>
              <w:t>汽车起重机和叉车承包项</w:t>
            </w:r>
            <w:r>
              <w:rPr>
                <w:rFonts w:hint="eastAsia" w:ascii="宋体" w:hAnsi="宋体"/>
                <w:color w:val="000000"/>
                <w:kern w:val="0"/>
                <w:szCs w:val="21"/>
              </w:rPr>
              <w:t>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58" w:hRule="atLeast"/>
          <w:jc w:val="center"/>
        </w:trPr>
        <w:tc>
          <w:tcPr>
            <w:tcW w:w="2110" w:type="dxa"/>
            <w:tcBorders>
              <w:top w:val="single" w:color="auto" w:sz="4" w:space="0"/>
            </w:tcBorders>
            <w:vAlign w:val="center"/>
          </w:tcPr>
          <w:p>
            <w:pPr>
              <w:widowControl/>
              <w:jc w:val="center"/>
              <w:rPr>
                <w:rFonts w:ascii="宋体" w:hAnsi="宋体"/>
                <w:kern w:val="0"/>
                <w:sz w:val="18"/>
                <w:szCs w:val="18"/>
              </w:rPr>
            </w:pPr>
            <w:r>
              <w:rPr>
                <w:rFonts w:hint="eastAsia" w:ascii="宋体" w:hAnsi="宋体"/>
                <w:kern w:val="0"/>
                <w:sz w:val="18"/>
                <w:szCs w:val="18"/>
              </w:rPr>
              <w:t>技术条款、技术协议</w:t>
            </w:r>
          </w:p>
        </w:tc>
        <w:tc>
          <w:tcPr>
            <w:tcW w:w="11245" w:type="dxa"/>
            <w:gridSpan w:val="5"/>
            <w:vAlign w:val="center"/>
          </w:tcPr>
          <w:p>
            <w:pPr>
              <w:rPr>
                <w:rFonts w:ascii="宋体" w:hAnsi="宋体"/>
                <w:color w:val="000000"/>
                <w:sz w:val="18"/>
                <w:szCs w:val="18"/>
              </w:rPr>
            </w:pPr>
            <w:r>
              <w:rPr>
                <w:rFonts w:hint="eastAsia" w:ascii="宋体" w:hAnsi="宋体"/>
                <w:kern w:val="0"/>
                <w:sz w:val="18"/>
                <w:szCs w:val="18"/>
              </w:rPr>
              <w:t>(详见附件)承包汽车起重机和叉车项目应当具有相应的专业资质和能力：1、商业信誉良好，近三年经营活动无重大违法记录；2、</w:t>
            </w:r>
            <w:r>
              <w:rPr>
                <w:rFonts w:hint="eastAsia" w:ascii="宋体" w:hAnsi="宋体"/>
                <w:color w:val="000000"/>
                <w:sz w:val="18"/>
                <w:szCs w:val="18"/>
              </w:rPr>
              <w:t>参加本次招标的投标单位必须具有国家相关部门颁发的从事此行业的资质证书。3、驾驶吊车及叉车的驾驶员各种相关证照齐全有效。4、在衡水市设有固定经营场所，并具有本项目服务有关的设施、设备，具有提供本项目服务的能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sz w:val="18"/>
                <w:szCs w:val="18"/>
              </w:rPr>
            </w:pPr>
            <w:r>
              <w:rPr>
                <w:rFonts w:hint="eastAsia" w:ascii="宋体" w:hAnsi="宋体"/>
                <w:kern w:val="0"/>
                <w:sz w:val="18"/>
                <w:szCs w:val="18"/>
              </w:rPr>
              <w:t>合同主要条款</w:t>
            </w:r>
          </w:p>
        </w:tc>
        <w:tc>
          <w:tcPr>
            <w:tcW w:w="11245" w:type="dxa"/>
            <w:gridSpan w:val="5"/>
            <w:vAlign w:val="center"/>
          </w:tcPr>
          <w:p>
            <w:pPr>
              <w:rPr>
                <w:rFonts w:ascii="宋体" w:hAnsi="宋体"/>
                <w:color w:val="000000"/>
                <w:sz w:val="18"/>
                <w:szCs w:val="18"/>
              </w:rPr>
            </w:pPr>
            <w:r>
              <w:rPr>
                <w:rFonts w:hint="eastAsia" w:ascii="宋体" w:hAnsi="宋体"/>
                <w:kern w:val="0"/>
                <w:sz w:val="18"/>
                <w:szCs w:val="18"/>
              </w:rPr>
              <w:t>(详见附件) 按照国家相关法律法规要求以及公司需要，1、</w:t>
            </w:r>
            <w:r>
              <w:rPr>
                <w:rFonts w:hint="eastAsia" w:ascii="宋体" w:hAnsi="宋体"/>
                <w:color w:val="000000"/>
                <w:sz w:val="18"/>
                <w:szCs w:val="18"/>
              </w:rPr>
              <w:t>承包费用每三个月结算一次。</w:t>
            </w:r>
            <w:r>
              <w:rPr>
                <w:rFonts w:hint="eastAsia" w:asciiTheme="minorEastAsia" w:hAnsiTheme="minorEastAsia" w:eastAsiaTheme="minorEastAsia" w:cstheme="minorEastAsia"/>
                <w:sz w:val="18"/>
                <w:szCs w:val="18"/>
              </w:rPr>
              <w:t>财务根据两个事业部上报的吊装情况结算表和</w:t>
            </w:r>
            <w:r>
              <w:rPr>
                <w:rFonts w:hint="eastAsia" w:ascii="宋体" w:hAnsi="宋体"/>
                <w:color w:val="000000"/>
                <w:sz w:val="18"/>
                <w:szCs w:val="18"/>
              </w:rPr>
              <w:t>所用吨位的车辆投标价格进行核算。2、中标方应在结算期限内根据实际使用情况结算款项，并根据邯钢集团衡板储运有限公司提供的发票信息开具全国统一的增值税发票。非衡板公司和板业公司原因造成的不能结算承包费用的，不承担任何经济和法律责任，中标方将承担一切经济和法律责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pPr>
              <w:widowControl/>
              <w:jc w:val="center"/>
              <w:rPr>
                <w:rFonts w:ascii="宋体" w:hAnsi="宋体"/>
                <w:color w:val="000000" w:themeColor="text1"/>
                <w:spacing w:val="-12"/>
                <w:kern w:val="0"/>
                <w:sz w:val="20"/>
                <w:szCs w:val="21"/>
              </w:rPr>
            </w:pPr>
            <w:r>
              <w:rPr>
                <w:rFonts w:hint="eastAsia" w:ascii="宋体" w:hAnsi="宋体"/>
                <w:color w:val="000000" w:themeColor="text1"/>
                <w:spacing w:val="-12"/>
                <w:kern w:val="0"/>
                <w:sz w:val="20"/>
                <w:szCs w:val="21"/>
              </w:rPr>
              <w:t>中标模式</w:t>
            </w:r>
          </w:p>
        </w:tc>
        <w:tc>
          <w:tcPr>
            <w:tcW w:w="11245" w:type="dxa"/>
            <w:gridSpan w:val="5"/>
            <w:vAlign w:val="center"/>
          </w:tcPr>
          <w:p>
            <w:pPr>
              <w:widowControl/>
              <w:jc w:val="left"/>
              <w:rPr>
                <w:rFonts w:ascii="宋体" w:hAnsi="宋体"/>
                <w:color w:val="000000" w:themeColor="text1"/>
                <w:kern w:val="0"/>
                <w:sz w:val="20"/>
                <w:szCs w:val="21"/>
              </w:rPr>
            </w:pPr>
            <w:r>
              <w:rPr>
                <w:rFonts w:hint="eastAsia" w:ascii="宋体" w:hAnsi="宋体"/>
                <w:color w:val="000000"/>
                <w:sz w:val="20"/>
                <w:szCs w:val="21"/>
                <w:lang w:eastAsia="zh-CN"/>
              </w:rPr>
              <w:t>价格最低者</w:t>
            </w:r>
            <w:r>
              <w:rPr>
                <w:rFonts w:hint="eastAsia" w:ascii="宋体" w:hAnsi="宋体"/>
                <w:color w:val="000000"/>
                <w:sz w:val="20"/>
                <w:szCs w:val="21"/>
              </w:rPr>
              <w:t>为中标单位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5"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sz w:val="18"/>
                <w:szCs w:val="18"/>
              </w:rPr>
            </w:pPr>
            <w:r>
              <w:rPr>
                <w:rFonts w:hint="eastAsia" w:ascii="宋体" w:hAnsi="宋体"/>
                <w:color w:val="000000"/>
                <w:sz w:val="20"/>
                <w:szCs w:val="21"/>
              </w:rPr>
              <w:t>1.</w:t>
            </w:r>
            <w:r>
              <w:rPr>
                <w:rFonts w:hint="eastAsia" w:ascii="宋体" w:hAnsi="宋体"/>
                <w:b/>
                <w:kern w:val="0"/>
                <w:sz w:val="18"/>
                <w:szCs w:val="18"/>
              </w:rPr>
              <w:t>本次招标收取投标保证金</w:t>
            </w:r>
            <w:r>
              <w:rPr>
                <w:rFonts w:hint="eastAsia" w:ascii="宋体" w:hAnsi="宋体"/>
                <w:b/>
                <w:kern w:val="0"/>
                <w:sz w:val="18"/>
                <w:szCs w:val="18"/>
                <w:lang w:val="en-US" w:eastAsia="zh-CN"/>
              </w:rPr>
              <w:t>2000.00</w:t>
            </w:r>
            <w:r>
              <w:rPr>
                <w:rFonts w:hint="eastAsia" w:ascii="宋体" w:hAnsi="宋体"/>
                <w:b/>
                <w:kern w:val="0"/>
                <w:sz w:val="18"/>
                <w:szCs w:val="18"/>
              </w:rPr>
              <w:t>元</w:t>
            </w:r>
            <w:r>
              <w:rPr>
                <w:rFonts w:hint="eastAsia" w:ascii="宋体" w:hAnsi="宋体"/>
                <w:kern w:val="0"/>
                <w:sz w:val="18"/>
                <w:szCs w:val="18"/>
              </w:rPr>
              <w:t>，</w:t>
            </w:r>
            <w:r>
              <w:rPr>
                <w:rFonts w:hint="eastAsia" w:ascii="宋体" w:hAnsi="宋体"/>
                <w:kern w:val="0"/>
                <w:sz w:val="18"/>
                <w:szCs w:val="18"/>
                <w:lang w:eastAsia="zh-CN"/>
              </w:rPr>
              <w:t>本次招标活动结束后</w:t>
            </w:r>
            <w:r>
              <w:rPr>
                <w:rFonts w:hint="eastAsia" w:ascii="宋体" w:hAnsi="宋体"/>
                <w:kern w:val="0"/>
                <w:sz w:val="18"/>
                <w:szCs w:val="18"/>
              </w:rPr>
              <w:t>招标活动结束后无息退还；如果投标人放弃投标、哄抬标价、提供虚假材料、串标、中标后拒绝签订合同，招标方将没收投标保证金。</w:t>
            </w:r>
          </w:p>
          <w:p>
            <w:pPr>
              <w:widowControl/>
              <w:rPr>
                <w:rFonts w:ascii="宋体" w:hAnsi="宋体"/>
                <w:kern w:val="0"/>
                <w:sz w:val="18"/>
                <w:szCs w:val="18"/>
              </w:rPr>
            </w:pPr>
            <w:r>
              <w:rPr>
                <w:rFonts w:hint="eastAsia" w:ascii="宋体" w:hAnsi="宋体"/>
                <w:kern w:val="0"/>
                <w:sz w:val="18"/>
                <w:szCs w:val="18"/>
              </w:rPr>
              <w:t>2</w:t>
            </w:r>
            <w:r>
              <w:rPr>
                <w:rFonts w:hint="eastAsia" w:ascii="宋体" w:hAnsi="宋体"/>
                <w:b/>
                <w:kern w:val="0"/>
                <w:sz w:val="18"/>
                <w:szCs w:val="18"/>
              </w:rPr>
              <w:t>.账户名称</w:t>
            </w:r>
            <w:r>
              <w:rPr>
                <w:rFonts w:hint="eastAsia" w:ascii="宋体" w:hAnsi="宋体"/>
                <w:kern w:val="0"/>
                <w:sz w:val="18"/>
                <w:szCs w:val="18"/>
              </w:rPr>
              <w:t>：邯钢集团衡板储运有限公司。金融机构名称： 中国工商银行衡水路北支行。银行账号：0407030009259022940 。</w:t>
            </w:r>
          </w:p>
          <w:p>
            <w:pPr>
              <w:widowControl/>
              <w:rPr>
                <w:rFonts w:ascii="宋体" w:hAnsi="宋体"/>
                <w:kern w:val="0"/>
              </w:rPr>
            </w:pPr>
            <w:r>
              <w:rPr>
                <w:rFonts w:hint="eastAsia" w:ascii="宋体" w:hAnsi="宋体"/>
                <w:kern w:val="0"/>
                <w:sz w:val="18"/>
                <w:szCs w:val="18"/>
              </w:rPr>
              <w:t>3、</w:t>
            </w:r>
            <w:r>
              <w:rPr>
                <w:rFonts w:hint="eastAsia" w:ascii="宋体" w:hAnsi="宋体"/>
                <w:b/>
                <w:kern w:val="0"/>
                <w:sz w:val="18"/>
                <w:szCs w:val="18"/>
              </w:rPr>
              <w:t>投标保证金交纳时间：</w:t>
            </w:r>
            <w:r>
              <w:rPr>
                <w:rFonts w:hint="eastAsia" w:ascii="宋体" w:hAnsi="宋体"/>
                <w:kern w:val="0"/>
                <w:sz w:val="18"/>
                <w:szCs w:val="18"/>
              </w:rPr>
              <w:t>报名时间截止后，待甲方通知5日内交纳投标保证金(公户对公户)，否则不予发送招标文件。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110" w:type="dxa"/>
            <w:vMerge w:val="restart"/>
            <w:vAlign w:val="center"/>
          </w:tcPr>
          <w:p>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pPr>
              <w:pStyle w:val="8"/>
              <w:widowControl/>
              <w:numPr>
                <w:ilvl w:val="0"/>
                <w:numId w:val="1"/>
              </w:numPr>
              <w:ind w:firstLineChars="0"/>
              <w:rPr>
                <w:rFonts w:ascii="宋体" w:hAnsi="宋体"/>
                <w:kern w:val="0"/>
              </w:rPr>
            </w:pPr>
            <w:r>
              <w:rPr>
                <w:rFonts w:hint="eastAsia" w:ascii="宋体" w:hAnsi="宋体"/>
                <w:kern w:val="0"/>
              </w:rPr>
              <w:t>供应商必须具有独立法人资格，须取得营业执照；</w:t>
            </w:r>
          </w:p>
          <w:p>
            <w:pPr>
              <w:pStyle w:val="8"/>
              <w:widowControl/>
              <w:numPr>
                <w:ilvl w:val="0"/>
                <w:numId w:val="1"/>
              </w:numPr>
              <w:ind w:firstLineChars="0"/>
              <w:rPr>
                <w:rFonts w:ascii="宋体" w:hAnsi="宋体"/>
                <w:kern w:val="0"/>
              </w:rPr>
            </w:pPr>
            <w:r>
              <w:rPr>
                <w:rFonts w:hint="eastAsia" w:ascii="宋体" w:hAnsi="宋体"/>
                <w:kern w:val="0"/>
              </w:rPr>
              <w:t>供应商需具备良好的商业信誉及财务状况，依法纳税，并能开具增值税6%专用发票；</w:t>
            </w:r>
          </w:p>
          <w:p>
            <w:pPr>
              <w:pStyle w:val="8"/>
              <w:numPr>
                <w:ilvl w:val="0"/>
                <w:numId w:val="1"/>
              </w:numPr>
              <w:ind w:firstLineChars="0"/>
              <w:rPr>
                <w:rFonts w:ascii="宋体" w:hAnsi="宋体"/>
                <w:kern w:val="0"/>
              </w:rPr>
            </w:pPr>
            <w:r>
              <w:rPr>
                <w:rFonts w:hint="eastAsia" w:ascii="宋体" w:hAnsi="宋体"/>
                <w:kern w:val="0"/>
              </w:rPr>
              <w:t>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110" w:type="dxa"/>
            <w:vMerge w:val="continue"/>
            <w:vAlign w:val="center"/>
          </w:tcPr>
          <w:p>
            <w:pPr>
              <w:widowControl/>
              <w:jc w:val="center"/>
              <w:rPr>
                <w:rFonts w:ascii="宋体" w:hAnsi="宋体"/>
                <w:kern w:val="0"/>
              </w:rPr>
            </w:pPr>
          </w:p>
        </w:tc>
        <w:tc>
          <w:tcPr>
            <w:tcW w:w="11245" w:type="dxa"/>
            <w:gridSpan w:val="5"/>
            <w:tcBorders>
              <w:top w:val="single" w:color="auto" w:sz="4" w:space="0"/>
            </w:tcBorders>
            <w:vAlign w:val="center"/>
          </w:tcPr>
          <w:p>
            <w:pPr>
              <w:pStyle w:val="8"/>
              <w:widowControl/>
              <w:numPr>
                <w:ilvl w:val="0"/>
                <w:numId w:val="2"/>
              </w:numPr>
              <w:ind w:firstLineChars="0"/>
              <w:rPr>
                <w:rFonts w:ascii="宋体" w:hAnsi="宋体"/>
                <w:kern w:val="0"/>
              </w:rPr>
            </w:pPr>
            <w:r>
              <w:rPr>
                <w:rFonts w:hint="eastAsia" w:ascii="宋体" w:hAnsi="宋体"/>
                <w:kern w:val="0"/>
              </w:rPr>
              <w:t>报名单位须将营业执照、授权委托书(应注明联系电话、电子邮件）)、报名联系人身份证、资质文件、业绩复印件、 送至hbliji@hbisco.com</w:t>
            </w:r>
            <w:r>
              <w:rPr>
                <w:rFonts w:hint="eastAsia" w:ascii="宋体" w:hAnsi="宋体"/>
                <w:kern w:val="0"/>
                <w:lang w:eastAsia="zh-CN"/>
              </w:rPr>
              <w:t>邮箱</w:t>
            </w:r>
            <w:r>
              <w:rPr>
                <w:rFonts w:hint="eastAsia" w:ascii="宋体" w:hAnsi="宋体"/>
                <w:kern w:val="0"/>
              </w:rPr>
              <w:t>。</w:t>
            </w:r>
          </w:p>
          <w:p>
            <w:pPr>
              <w:pStyle w:val="8"/>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pPr>
              <w:rPr>
                <w:rFonts w:ascii="宋体" w:hAnsi="宋体"/>
                <w:kern w:val="0"/>
              </w:rPr>
            </w:pPr>
            <w:r>
              <w:rPr>
                <w:rFonts w:hint="eastAsia" w:ascii="宋体" w:hAnsi="宋体"/>
                <w:kern w:val="0"/>
              </w:rPr>
              <w:t>2.所有文件须盖公章，否则视为无效报名。</w:t>
            </w:r>
          </w:p>
          <w:p>
            <w:pPr>
              <w:rPr>
                <w:rFonts w:ascii="宋体" w:hAnsi="宋体"/>
                <w:kern w:val="0"/>
              </w:rPr>
            </w:pPr>
            <w:r>
              <w:rPr>
                <w:rFonts w:hint="eastAsia" w:ascii="宋体" w:hAnsi="宋体"/>
                <w:kern w:val="0"/>
              </w:rPr>
              <w:t>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ind w:firstLine="630" w:firstLineChars="350"/>
              <w:rPr>
                <w:rFonts w:ascii="宋体" w:hAnsi="宋体"/>
                <w:kern w:val="0"/>
              </w:rPr>
            </w:pPr>
            <w:r>
              <w:rPr>
                <w:rFonts w:hint="eastAsia" w:ascii="宋体"/>
                <w:kern w:val="0"/>
                <w:sz w:val="18"/>
                <w:szCs w:val="18"/>
              </w:rPr>
              <w:t>13102781905</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ind w:firstLine="360" w:firstLineChars="200"/>
              <w:rPr>
                <w:rFonts w:hint="default" w:ascii="宋体" w:hAnsi="宋体" w:eastAsia="宋体"/>
                <w:color w:val="000000"/>
                <w:sz w:val="18"/>
                <w:szCs w:val="18"/>
                <w:lang w:val="en-US" w:eastAsia="zh-CN"/>
              </w:rPr>
            </w:pPr>
            <w:r>
              <w:rPr>
                <w:rFonts w:hint="eastAsia" w:ascii="宋体"/>
                <w:kern w:val="0"/>
                <w:sz w:val="18"/>
                <w:szCs w:val="18"/>
              </w:rPr>
              <w:t>王凯毅，13102781905 ，</w:t>
            </w:r>
            <w:r>
              <w:rPr>
                <w:rFonts w:hint="eastAsia" w:ascii="宋体"/>
                <w:kern w:val="0"/>
                <w:sz w:val="18"/>
                <w:szCs w:val="18"/>
                <w:lang w:eastAsia="zh-CN"/>
              </w:rPr>
              <w:t>李季</w:t>
            </w:r>
            <w:r>
              <w:rPr>
                <w:rFonts w:hint="eastAsia" w:ascii="宋体"/>
                <w:kern w:val="0"/>
                <w:sz w:val="18"/>
                <w:szCs w:val="18"/>
                <w:lang w:val="en-US" w:eastAsia="zh-CN"/>
              </w:rPr>
              <w:t>15544889948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tabs>
                <w:tab w:val="left" w:pos="2818"/>
                <w:tab w:val="center" w:pos="5626"/>
              </w:tabs>
              <w:jc w:val="left"/>
              <w:rPr>
                <w:rFonts w:ascii="宋体" w:hAnsi="宋体"/>
                <w:kern w:val="0"/>
              </w:rPr>
            </w:pPr>
            <w:r>
              <w:rPr>
                <w:rFonts w:hint="eastAsia" w:ascii="宋体" w:hAnsi="宋体"/>
                <w:kern w:val="0"/>
                <w:lang w:eastAsia="zh-CN"/>
              </w:rPr>
              <w:tab/>
            </w:r>
            <w:r>
              <w:rPr>
                <w:rFonts w:hint="eastAsia" w:ascii="宋体" w:hAnsi="宋体"/>
                <w:kern w:val="0"/>
                <w:lang w:val="en-US" w:eastAsia="zh-CN"/>
              </w:rPr>
              <w:t>2024年04月10日</w:t>
            </w:r>
            <w:r>
              <w:rPr>
                <w:rFonts w:hint="eastAsia" w:ascii="宋体" w:hAnsi="宋体"/>
                <w:kern w:val="0"/>
                <w:lang w:eastAsia="zh-CN"/>
              </w:rPr>
              <w:tab/>
            </w:r>
            <w:r>
              <w:rPr>
                <w:rFonts w:hint="eastAsia" w:ascii="宋体" w:hAnsi="宋体"/>
                <w:kern w:val="0"/>
              </w:rPr>
              <w:t xml:space="preserve"> </w:t>
            </w:r>
          </w:p>
        </w:tc>
      </w:tr>
    </w:tbl>
    <w:p>
      <w:pPr>
        <w:spacing w:line="500" w:lineRule="exact"/>
        <w:ind w:left="-38" w:leftChars="-33" w:hanging="31" w:hangingChars="15"/>
      </w:pPr>
      <w:r>
        <w:rPr>
          <w:rFonts w:hint="eastAsia"/>
        </w:rPr>
        <w:t xml:space="preserve">           填表人：王凯毅                                                         </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西文正文">
    <w:altName w:val="Segoe Print"/>
    <w:panose1 w:val="00000000000000000000"/>
    <w:charset w:val="00"/>
    <w:family w:val="auto"/>
    <w:pitch w:val="default"/>
    <w:sig w:usb0="00000000" w:usb1="00000000" w:usb2="00000000" w:usb3="00000000" w:csb0="00000000" w:csb1="00000000"/>
  </w:font>
  <w:font w:name="+中文正文">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B60C77"/>
    <w:multiLevelType w:val="multilevel"/>
    <w:tmpl w:val="24B60C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NWExY2RlNTJkMmI5ZjVlMWQ1OWY5ZjgxZjBkMmUifQ=="/>
  </w:docVars>
  <w:rsids>
    <w:rsidRoot w:val="00A232C6"/>
    <w:rsid w:val="0000571E"/>
    <w:rsid w:val="00005EFE"/>
    <w:rsid w:val="00017EEE"/>
    <w:rsid w:val="000327B6"/>
    <w:rsid w:val="000407FE"/>
    <w:rsid w:val="000B4383"/>
    <w:rsid w:val="000C33B9"/>
    <w:rsid w:val="001014F6"/>
    <w:rsid w:val="00115BBE"/>
    <w:rsid w:val="00142EC2"/>
    <w:rsid w:val="0016415E"/>
    <w:rsid w:val="0016576F"/>
    <w:rsid w:val="001D58A5"/>
    <w:rsid w:val="001E2495"/>
    <w:rsid w:val="001F5881"/>
    <w:rsid w:val="002133D3"/>
    <w:rsid w:val="00230786"/>
    <w:rsid w:val="00232212"/>
    <w:rsid w:val="002327BB"/>
    <w:rsid w:val="00235856"/>
    <w:rsid w:val="002372B2"/>
    <w:rsid w:val="00243D6C"/>
    <w:rsid w:val="002459D5"/>
    <w:rsid w:val="00291361"/>
    <w:rsid w:val="002A5EDD"/>
    <w:rsid w:val="002D1BC7"/>
    <w:rsid w:val="002E4AA6"/>
    <w:rsid w:val="00317A98"/>
    <w:rsid w:val="00350E55"/>
    <w:rsid w:val="003649B4"/>
    <w:rsid w:val="003A0FBE"/>
    <w:rsid w:val="003A7D19"/>
    <w:rsid w:val="003C0D8B"/>
    <w:rsid w:val="003F5273"/>
    <w:rsid w:val="004111A6"/>
    <w:rsid w:val="00414E31"/>
    <w:rsid w:val="004463F3"/>
    <w:rsid w:val="0046704A"/>
    <w:rsid w:val="00477E35"/>
    <w:rsid w:val="00491774"/>
    <w:rsid w:val="00493FC0"/>
    <w:rsid w:val="00495E03"/>
    <w:rsid w:val="00510529"/>
    <w:rsid w:val="00522D7E"/>
    <w:rsid w:val="005401D8"/>
    <w:rsid w:val="005514FB"/>
    <w:rsid w:val="00594D0B"/>
    <w:rsid w:val="005A4A4E"/>
    <w:rsid w:val="005B2911"/>
    <w:rsid w:val="005C459B"/>
    <w:rsid w:val="005D01C1"/>
    <w:rsid w:val="005E5B41"/>
    <w:rsid w:val="00607C4D"/>
    <w:rsid w:val="00612A35"/>
    <w:rsid w:val="006410A9"/>
    <w:rsid w:val="00641BB3"/>
    <w:rsid w:val="006537B3"/>
    <w:rsid w:val="0067473E"/>
    <w:rsid w:val="0068314C"/>
    <w:rsid w:val="006C5D64"/>
    <w:rsid w:val="006F6285"/>
    <w:rsid w:val="00731ACD"/>
    <w:rsid w:val="00732998"/>
    <w:rsid w:val="00751B95"/>
    <w:rsid w:val="00794F61"/>
    <w:rsid w:val="007B6BC2"/>
    <w:rsid w:val="007F6A06"/>
    <w:rsid w:val="00802317"/>
    <w:rsid w:val="00854270"/>
    <w:rsid w:val="00862021"/>
    <w:rsid w:val="008755F3"/>
    <w:rsid w:val="008860F7"/>
    <w:rsid w:val="008C5448"/>
    <w:rsid w:val="008E319D"/>
    <w:rsid w:val="00922E59"/>
    <w:rsid w:val="00924C23"/>
    <w:rsid w:val="009673B8"/>
    <w:rsid w:val="009A6C65"/>
    <w:rsid w:val="00A232C6"/>
    <w:rsid w:val="00A37D6C"/>
    <w:rsid w:val="00A421CE"/>
    <w:rsid w:val="00A54B57"/>
    <w:rsid w:val="00A72C20"/>
    <w:rsid w:val="00A84797"/>
    <w:rsid w:val="00AD06DF"/>
    <w:rsid w:val="00AD4863"/>
    <w:rsid w:val="00AF3D55"/>
    <w:rsid w:val="00AF5FC6"/>
    <w:rsid w:val="00B30419"/>
    <w:rsid w:val="00B32124"/>
    <w:rsid w:val="00B35CF0"/>
    <w:rsid w:val="00B372BD"/>
    <w:rsid w:val="00B665FA"/>
    <w:rsid w:val="00BB0FC3"/>
    <w:rsid w:val="00BD3219"/>
    <w:rsid w:val="00BD3CB8"/>
    <w:rsid w:val="00C46DBD"/>
    <w:rsid w:val="00C54E10"/>
    <w:rsid w:val="00C82C9D"/>
    <w:rsid w:val="00CB6914"/>
    <w:rsid w:val="00CB756C"/>
    <w:rsid w:val="00CC4A24"/>
    <w:rsid w:val="00CD2C75"/>
    <w:rsid w:val="00CF4221"/>
    <w:rsid w:val="00CF6D28"/>
    <w:rsid w:val="00D30D30"/>
    <w:rsid w:val="00D64C4F"/>
    <w:rsid w:val="00D709BD"/>
    <w:rsid w:val="00D72DB0"/>
    <w:rsid w:val="00D7436D"/>
    <w:rsid w:val="00D92B54"/>
    <w:rsid w:val="00D96B6C"/>
    <w:rsid w:val="00DC7300"/>
    <w:rsid w:val="00E25762"/>
    <w:rsid w:val="00E25A3B"/>
    <w:rsid w:val="00E27400"/>
    <w:rsid w:val="00E37A7E"/>
    <w:rsid w:val="00E433DA"/>
    <w:rsid w:val="00E64FFB"/>
    <w:rsid w:val="00E67127"/>
    <w:rsid w:val="00E704E2"/>
    <w:rsid w:val="00E725A8"/>
    <w:rsid w:val="00E72E12"/>
    <w:rsid w:val="00EA276A"/>
    <w:rsid w:val="00F204D4"/>
    <w:rsid w:val="00F61252"/>
    <w:rsid w:val="00F7317B"/>
    <w:rsid w:val="00F8480E"/>
    <w:rsid w:val="00FB25AE"/>
    <w:rsid w:val="00FC65D2"/>
    <w:rsid w:val="00FE04AC"/>
    <w:rsid w:val="0C241D51"/>
    <w:rsid w:val="4F0F3A72"/>
    <w:rsid w:val="75DB2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rFonts w:ascii="Times New Roman" w:hAnsi="Times New Roman" w:eastAsia="宋体" w:cs="Times New Roman"/>
      <w:sz w:val="18"/>
      <w:szCs w:val="18"/>
    </w:rPr>
  </w:style>
  <w:style w:type="character" w:customStyle="1" w:styleId="7">
    <w:name w:val="页脚 Char"/>
    <w:basedOn w:val="5"/>
    <w:link w:val="2"/>
    <w:autoRedefine/>
    <w:semiHidden/>
    <w:qFormat/>
    <w:uiPriority w:val="99"/>
    <w:rPr>
      <w:rFonts w:ascii="Times New Roman" w:hAnsi="Times New Roman" w:eastAsia="宋体" w:cs="Times New Roman"/>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ED34AD-8E5D-47EF-B63B-83F7B0111E92}">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187</Words>
  <Characters>1066</Characters>
  <Lines>8</Lines>
  <Paragraphs>2</Paragraphs>
  <TotalTime>1</TotalTime>
  <ScaleCrop>false</ScaleCrop>
  <LinksUpToDate>false</LinksUpToDate>
  <CharactersWithSpaces>1251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逸尘</cp:lastModifiedBy>
  <cp:lastPrinted>2022-03-08T07:22:00Z</cp:lastPrinted>
  <dcterms:modified xsi:type="dcterms:W3CDTF">2024-03-29T10:10:11Z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B96524A34874476BA354E25592C3A055_13</vt:lpwstr>
  </property>
</Properties>
</file>