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7" w:leftChars="-33" w:hanging="42" w:hangingChars="15"/>
        <w:rPr>
          <w:rFonts w:ascii="宋体" w:hAnsi="宋体"/>
          <w:bCs/>
          <w:sz w:val="28"/>
          <w:szCs w:val="28"/>
        </w:rPr>
      </w:pPr>
      <w:r>
        <w:rPr>
          <w:rFonts w:hint="eastAsia" w:ascii="黑体" w:eastAsia="黑体"/>
          <w:b/>
          <w:sz w:val="28"/>
        </w:rPr>
        <w:t xml:space="preserve">                           </w:t>
      </w:r>
      <w:r>
        <w:rPr>
          <w:rFonts w:hint="eastAsia" w:ascii="黑体" w:eastAsia="黑体"/>
          <w:b/>
          <w:sz w:val="32"/>
        </w:rPr>
        <w:t xml:space="preserve">            </w:t>
      </w:r>
      <w:r>
        <w:rPr>
          <w:rFonts w:hint="eastAsia" w:ascii="宋体" w:hAnsi="宋体" w:eastAsia="宋体"/>
          <w:color w:val="000000"/>
          <w:sz w:val="36"/>
          <w:szCs w:val="36"/>
        </w:rPr>
        <w:t xml:space="preserve"> 招标公示表</w:t>
      </w:r>
    </w:p>
    <w:p>
      <w:pPr>
        <w:spacing w:before="156" w:beforeLines="50"/>
        <w:ind w:firstLine="280" w:firstLineChars="100"/>
        <w:rPr>
          <w:rFonts w:ascii="宋体" w:hAnsi="宋体"/>
          <w:b/>
        </w:rPr>
      </w:pPr>
      <w:r>
        <w:rPr>
          <w:rFonts w:hint="eastAsia" w:ascii="宋体" w:hAnsi="宋体" w:eastAsia="宋体"/>
          <w:color w:val="000000"/>
          <w:sz w:val="28"/>
          <w:szCs w:val="28"/>
        </w:rPr>
        <w:t xml:space="preserve">编写单位：设备动力部                                            2024 年  4  月  2  日          </w:t>
      </w:r>
      <w:r>
        <w:rPr>
          <w:rFonts w:hint="eastAsia"/>
          <w:color w:val="000000"/>
          <w:sz w:val="28"/>
          <w:szCs w:val="28"/>
        </w:rPr>
        <w:t xml:space="preserve">     </w:t>
      </w:r>
      <w:r>
        <w:rPr>
          <w:rFonts w:hint="eastAsia"/>
        </w:rPr>
        <w:t xml:space="preserve">                      </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939"/>
        <w:gridCol w:w="1960"/>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招标编号</w:t>
            </w:r>
          </w:p>
        </w:tc>
        <w:tc>
          <w:tcPr>
            <w:tcW w:w="2315" w:type="dxa"/>
            <w:vAlign w:val="center"/>
          </w:tcPr>
          <w:p>
            <w:pPr>
              <w:widowControl/>
              <w:jc w:val="center"/>
              <w:rPr>
                <w:rFonts w:ascii="宋体" w:hAnsi="宋体"/>
                <w:sz w:val="28"/>
                <w:szCs w:val="28"/>
              </w:rPr>
            </w:pPr>
            <w:r>
              <w:rPr>
                <w:rFonts w:ascii="宋体" w:hAnsi="宋体"/>
                <w:sz w:val="28"/>
                <w:szCs w:val="28"/>
              </w:rPr>
              <w:t>JYGK20240400</w:t>
            </w:r>
            <w:r>
              <w:rPr>
                <w:rFonts w:hint="eastAsia" w:ascii="宋体" w:hAnsi="宋体"/>
                <w:sz w:val="28"/>
                <w:szCs w:val="28"/>
              </w:rPr>
              <w:t>1</w:t>
            </w:r>
          </w:p>
        </w:tc>
        <w:tc>
          <w:tcPr>
            <w:tcW w:w="1939" w:type="dxa"/>
            <w:vAlign w:val="center"/>
          </w:tcPr>
          <w:p>
            <w:pPr>
              <w:widowControl/>
              <w:jc w:val="center"/>
              <w:rPr>
                <w:rFonts w:ascii="宋体" w:hAnsi="宋体"/>
                <w:sz w:val="28"/>
                <w:szCs w:val="28"/>
              </w:rPr>
            </w:pPr>
            <w:r>
              <w:rPr>
                <w:rFonts w:hint="eastAsia" w:ascii="宋体" w:hAnsi="宋体"/>
                <w:sz w:val="28"/>
                <w:szCs w:val="28"/>
              </w:rPr>
              <w:t>招标项目名称</w:t>
            </w:r>
          </w:p>
        </w:tc>
        <w:tc>
          <w:tcPr>
            <w:tcW w:w="6991" w:type="dxa"/>
            <w:gridSpan w:val="2"/>
            <w:vAlign w:val="center"/>
          </w:tcPr>
          <w:p>
            <w:pPr>
              <w:widowControl/>
              <w:jc w:val="center"/>
              <w:rPr>
                <w:rFonts w:ascii="宋体" w:hAnsi="宋体"/>
                <w:sz w:val="28"/>
                <w:szCs w:val="28"/>
              </w:rPr>
            </w:pPr>
            <w:r>
              <w:rPr>
                <w:rFonts w:hint="eastAsia" w:ascii="宋体" w:hAnsi="宋体"/>
                <w:sz w:val="28"/>
                <w:szCs w:val="28"/>
              </w:rPr>
              <w:t>板业轧机电控系统维护优化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招标（项目）情况介绍</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对衡水板业包装材料科技有限公司2台1250可逆轧机电控系统进行优化升级(明细详见附件)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技术条款、技术协议</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(详见附件)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合同主要条款</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(详见附件)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中标模式</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综合评分中标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投标保证金</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本次招标收取投标保证金</w:t>
            </w:r>
            <w:r>
              <w:rPr>
                <w:rFonts w:hint="eastAsia" w:ascii="宋体" w:hAnsi="宋体"/>
                <w:sz w:val="28"/>
                <w:szCs w:val="28"/>
                <w:lang w:val="en-US" w:eastAsia="zh-CN"/>
              </w:rPr>
              <w:t>0</w:t>
            </w:r>
            <w:r>
              <w:rPr>
                <w:rFonts w:hint="eastAsia" w:ascii="宋体" w:hAnsi="宋体"/>
                <w:sz w:val="28"/>
                <w:szCs w:val="28"/>
              </w:rPr>
              <w:t>万元，投标人在确认技术条款、技术协议及无误后缴纳投标保证金，领取招标文件；</w:t>
            </w:r>
            <w:r>
              <w:rPr>
                <w:rFonts w:hint="eastAsia" w:ascii="宋体" w:hAnsi="宋体"/>
                <w:sz w:val="28"/>
                <w:szCs w:val="28"/>
                <w:lang w:eastAsia="zh-CN"/>
              </w:rPr>
              <w:t>本次</w:t>
            </w:r>
            <w:r>
              <w:rPr>
                <w:rFonts w:hint="eastAsia" w:ascii="宋体" w:hAnsi="宋体"/>
                <w:sz w:val="28"/>
                <w:szCs w:val="28"/>
              </w:rPr>
              <w:t>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2110" w:type="dxa"/>
            <w:vMerge w:val="restart"/>
            <w:vAlign w:val="center"/>
          </w:tcPr>
          <w:p>
            <w:pPr>
              <w:widowControl/>
              <w:jc w:val="center"/>
              <w:rPr>
                <w:rFonts w:ascii="宋体" w:hAnsi="宋体"/>
                <w:sz w:val="28"/>
                <w:szCs w:val="28"/>
              </w:rPr>
            </w:pPr>
            <w:r>
              <w:rPr>
                <w:rFonts w:hint="eastAsia" w:ascii="宋体" w:hAnsi="宋体"/>
                <w:sz w:val="28"/>
                <w:szCs w:val="28"/>
              </w:rPr>
              <w:t>报名条件要求</w:t>
            </w:r>
          </w:p>
        </w:tc>
        <w:tc>
          <w:tcPr>
            <w:tcW w:w="11245" w:type="dxa"/>
            <w:gridSpan w:val="4"/>
            <w:vAlign w:val="center"/>
          </w:tcPr>
          <w:p>
            <w:pPr>
              <w:widowControl/>
              <w:jc w:val="left"/>
              <w:rPr>
                <w:rFonts w:ascii="宋体" w:hAnsi="宋体"/>
                <w:sz w:val="28"/>
                <w:szCs w:val="28"/>
              </w:rPr>
            </w:pPr>
            <w:r>
              <w:rPr>
                <w:rFonts w:hint="eastAsia" w:ascii="宋体" w:hAnsi="宋体"/>
                <w:sz w:val="28"/>
                <w:szCs w:val="28"/>
              </w:rPr>
              <w:t>具备马口铁行业单机架可逆轧机电控调试业绩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2110" w:type="dxa"/>
            <w:vMerge w:val="continue"/>
            <w:vAlign w:val="center"/>
          </w:tcPr>
          <w:p>
            <w:pPr>
              <w:widowControl/>
              <w:jc w:val="left"/>
            </w:pPr>
          </w:p>
        </w:tc>
        <w:tc>
          <w:tcPr>
            <w:tcW w:w="11245" w:type="dxa"/>
            <w:gridSpan w:val="4"/>
            <w:vAlign w:val="center"/>
          </w:tcPr>
          <w:p>
            <w:pPr>
              <w:widowControl/>
              <w:jc w:val="left"/>
              <w:rPr>
                <w:rFonts w:hint="eastAsia" w:ascii="宋体" w:hAnsi="宋体"/>
                <w:sz w:val="28"/>
                <w:szCs w:val="28"/>
              </w:rPr>
            </w:pPr>
            <w:r>
              <w:rPr>
                <w:rFonts w:hint="eastAsia" w:ascii="宋体" w:hAnsi="宋体"/>
                <w:sz w:val="28"/>
                <w:szCs w:val="28"/>
              </w:rPr>
              <w:t>1.报名单位须将营业执照、授权委托书、</w:t>
            </w:r>
            <w:r>
              <w:rPr>
                <w:rFonts w:hint="eastAsia" w:ascii="宋体" w:hAnsi="宋体"/>
                <w:sz w:val="28"/>
                <w:szCs w:val="28"/>
              </w:rPr>
              <w:fldChar w:fldCharType="begin"/>
            </w:r>
            <w:r>
              <w:rPr>
                <w:rFonts w:hint="eastAsia" w:ascii="宋体" w:hAnsi="宋体"/>
                <w:sz w:val="28"/>
                <w:szCs w:val="28"/>
              </w:rPr>
              <w:instrText xml:space="preserve"> HYPERLINK "mailto:报名联系人姓名（身份证影印件）及联系方式发送18703187727@163.com" </w:instrText>
            </w:r>
            <w:r>
              <w:rPr>
                <w:rFonts w:hint="eastAsia" w:ascii="宋体" w:hAnsi="宋体"/>
                <w:sz w:val="28"/>
                <w:szCs w:val="28"/>
              </w:rPr>
              <w:fldChar w:fldCharType="separate"/>
            </w:r>
            <w:r>
              <w:rPr>
                <w:rFonts w:hint="eastAsia" w:ascii="宋体" w:hAnsi="宋体"/>
                <w:sz w:val="28"/>
                <w:szCs w:val="28"/>
              </w:rPr>
              <w:t>报名联系人身份证、资质文件、业绩复印件、联系方式（电话、电子邮件）发送hbliji@hbisco.com</w:t>
            </w:r>
            <w:r>
              <w:rPr>
                <w:rFonts w:hint="eastAsia" w:ascii="宋体" w:hAnsi="宋体"/>
                <w:sz w:val="28"/>
                <w:szCs w:val="28"/>
              </w:rPr>
              <w:fldChar w:fldCharType="end"/>
            </w:r>
            <w:r>
              <w:rPr>
                <w:rFonts w:hint="eastAsia" w:ascii="宋体" w:hAnsi="宋体"/>
                <w:sz w:val="28"/>
                <w:szCs w:val="28"/>
              </w:rPr>
              <w:t>邮箱，备注招标项目名称和招标编号。</w:t>
            </w:r>
          </w:p>
          <w:p>
            <w:pPr>
              <w:widowControl/>
              <w:jc w:val="left"/>
              <w:rPr>
                <w:rFonts w:hint="eastAsia" w:ascii="宋体" w:hAnsi="宋体"/>
                <w:sz w:val="28"/>
                <w:szCs w:val="28"/>
              </w:rPr>
            </w:pPr>
            <w:r>
              <w:rPr>
                <w:rFonts w:hint="eastAsia" w:ascii="宋体" w:hAnsi="宋体"/>
                <w:sz w:val="28"/>
                <w:szCs w:val="28"/>
              </w:rPr>
              <w:t>2.所有电子版文件须盖公章，否则视为无效报名。</w:t>
            </w:r>
          </w:p>
          <w:p>
            <w:pPr>
              <w:widowControl/>
              <w:jc w:val="left"/>
              <w:rPr>
                <w:rFonts w:hint="eastAsia" w:ascii="宋体" w:hAnsi="宋体"/>
                <w:sz w:val="28"/>
                <w:szCs w:val="28"/>
              </w:rPr>
            </w:pPr>
            <w:r>
              <w:rPr>
                <w:rFonts w:hint="eastAsia" w:ascii="宋体" w:hAnsi="宋体"/>
                <w:sz w:val="28"/>
                <w:szCs w:val="28"/>
              </w:rPr>
              <w:t>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报名电话</w:t>
            </w:r>
          </w:p>
        </w:tc>
        <w:tc>
          <w:tcPr>
            <w:tcW w:w="4254" w:type="dxa"/>
            <w:gridSpan w:val="2"/>
            <w:tcBorders>
              <w:right w:val="single" w:color="auto" w:sz="4" w:space="0"/>
            </w:tcBorders>
            <w:vAlign w:val="center"/>
          </w:tcPr>
          <w:p>
            <w:pPr>
              <w:widowControl/>
              <w:jc w:val="center"/>
              <w:rPr>
                <w:rFonts w:ascii="宋体" w:hAnsi="宋体"/>
                <w:sz w:val="28"/>
                <w:szCs w:val="28"/>
              </w:rPr>
            </w:pPr>
            <w:r>
              <w:rPr>
                <w:rFonts w:hint="eastAsia" w:ascii="宋体" w:hAnsi="宋体"/>
                <w:sz w:val="28"/>
                <w:szCs w:val="28"/>
              </w:rPr>
              <w:t>0318-2133659</w:t>
            </w:r>
          </w:p>
        </w:tc>
        <w:tc>
          <w:tcPr>
            <w:tcW w:w="1960" w:type="dxa"/>
            <w:tcBorders>
              <w:left w:val="single" w:color="auto" w:sz="4" w:space="0"/>
            </w:tcBorders>
            <w:vAlign w:val="center"/>
          </w:tcPr>
          <w:p>
            <w:pPr>
              <w:widowControl/>
              <w:jc w:val="center"/>
              <w:rPr>
                <w:rFonts w:ascii="宋体" w:hAnsi="宋体"/>
                <w:sz w:val="28"/>
                <w:szCs w:val="28"/>
              </w:rPr>
            </w:pPr>
            <w:r>
              <w:rPr>
                <w:rFonts w:hint="eastAsia" w:ascii="宋体" w:hAnsi="宋体"/>
                <w:sz w:val="28"/>
                <w:szCs w:val="28"/>
              </w:rPr>
              <w:t>报名联系人</w:t>
            </w:r>
          </w:p>
        </w:tc>
        <w:tc>
          <w:tcPr>
            <w:tcW w:w="5031" w:type="dxa"/>
            <w:vAlign w:val="center"/>
          </w:tcPr>
          <w:p>
            <w:pPr>
              <w:widowControl/>
              <w:jc w:val="center"/>
              <w:rPr>
                <w:rFonts w:hint="eastAsia" w:ascii="宋体" w:hAnsi="宋体" w:eastAsiaTheme="minorEastAsia"/>
                <w:sz w:val="28"/>
                <w:szCs w:val="28"/>
                <w:lang w:val="en-US" w:eastAsia="zh-CN"/>
              </w:rPr>
            </w:pPr>
            <w:r>
              <w:rPr>
                <w:rFonts w:hint="eastAsia" w:ascii="宋体" w:hAnsi="宋体"/>
                <w:sz w:val="28"/>
                <w:szCs w:val="28"/>
              </w:rPr>
              <w:t>李季，15369055793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监督及投诉</w:t>
            </w:r>
          </w:p>
        </w:tc>
        <w:tc>
          <w:tcPr>
            <w:tcW w:w="11245" w:type="dxa"/>
            <w:gridSpan w:val="4"/>
            <w:tcBorders>
              <w:bottom w:val="single" w:color="auto" w:sz="4" w:space="0"/>
            </w:tcBorders>
            <w:vAlign w:val="center"/>
          </w:tcPr>
          <w:p>
            <w:pPr>
              <w:widowControl/>
              <w:jc w:val="center"/>
              <w:rPr>
                <w:rFonts w:hint="eastAsia" w:ascii="宋体" w:hAnsi="宋体"/>
                <w:sz w:val="28"/>
                <w:szCs w:val="28"/>
              </w:rPr>
            </w:pPr>
            <w:r>
              <w:rPr>
                <w:rFonts w:hint="eastAsia" w:ascii="宋体" w:hAnsi="宋体"/>
                <w:sz w:val="28"/>
                <w:szCs w:val="28"/>
              </w:rPr>
              <w:t>电话：0318--2128506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2110" w:type="dxa"/>
            <w:vAlign w:val="center"/>
          </w:tcPr>
          <w:p>
            <w:pPr>
              <w:widowControl/>
              <w:jc w:val="center"/>
              <w:rPr>
                <w:rFonts w:ascii="宋体" w:hAnsi="宋体"/>
                <w:sz w:val="28"/>
                <w:szCs w:val="28"/>
              </w:rPr>
            </w:pPr>
            <w:r>
              <w:rPr>
                <w:rFonts w:hint="eastAsia" w:ascii="宋体" w:hAnsi="宋体"/>
                <w:sz w:val="28"/>
                <w:szCs w:val="28"/>
              </w:rPr>
              <w:t>报名截止时间</w:t>
            </w:r>
          </w:p>
        </w:tc>
        <w:tc>
          <w:tcPr>
            <w:tcW w:w="11245" w:type="dxa"/>
            <w:gridSpan w:val="4"/>
            <w:tcBorders>
              <w:top w:val="single" w:color="auto" w:sz="4" w:space="0"/>
            </w:tcBorders>
            <w:vAlign w:val="center"/>
          </w:tcPr>
          <w:p>
            <w:pPr>
              <w:widowControl/>
              <w:jc w:val="left"/>
              <w:rPr>
                <w:rFonts w:ascii="宋体" w:hAnsi="宋体"/>
                <w:sz w:val="28"/>
                <w:szCs w:val="28"/>
              </w:rPr>
            </w:pPr>
            <w:r>
              <w:rPr>
                <w:rFonts w:ascii="宋体" w:hAnsi="宋体"/>
                <w:sz w:val="28"/>
                <w:szCs w:val="28"/>
              </w:rPr>
              <w:t>2024年4月</w:t>
            </w:r>
            <w:r>
              <w:rPr>
                <w:rFonts w:hint="eastAsia" w:ascii="宋体" w:hAnsi="宋体"/>
                <w:sz w:val="28"/>
                <w:szCs w:val="28"/>
                <w:lang w:val="en-US" w:eastAsia="zh-CN"/>
              </w:rPr>
              <w:t>11</w:t>
            </w:r>
            <w:r>
              <w:rPr>
                <w:rFonts w:ascii="宋体" w:hAnsi="宋体"/>
                <w:sz w:val="28"/>
                <w:szCs w:val="28"/>
              </w:rPr>
              <w:t>日</w:t>
            </w:r>
          </w:p>
        </w:tc>
      </w:tr>
    </w:tbl>
    <w:p>
      <w:pPr>
        <w:widowControl/>
        <w:jc w:val="left"/>
        <w:rPr>
          <w:rFonts w:ascii="宋体" w:hAnsi="宋体"/>
          <w:sz w:val="28"/>
          <w:szCs w:val="28"/>
        </w:rPr>
      </w:pPr>
      <w:r>
        <w:rPr>
          <w:rFonts w:hint="eastAsia" w:ascii="宋体" w:hAnsi="宋体"/>
          <w:sz w:val="28"/>
          <w:szCs w:val="28"/>
        </w:rPr>
        <w:t xml:space="preserve">   填表人：杜春城     </w:t>
      </w:r>
      <w:r>
        <w:rPr>
          <w:rFonts w:hint="eastAsia"/>
        </w:rPr>
        <w:t xml:space="preserve">                                                         </w:t>
      </w:r>
    </w:p>
    <w:p/>
    <w:p/>
    <w:p/>
    <w:p/>
    <w:p>
      <w:pPr>
        <w:sectPr>
          <w:pgSz w:w="16838" w:h="11906" w:orient="landscape"/>
          <w:pgMar w:top="1800" w:right="1440" w:bottom="1800" w:left="1440" w:header="851" w:footer="992" w:gutter="0"/>
          <w:cols w:space="425" w:num="1"/>
          <w:docGrid w:type="lines" w:linePitch="312" w:charSpace="0"/>
        </w:sectPr>
      </w:pPr>
    </w:p>
    <w:p>
      <w:pPr>
        <w:spacing w:line="360" w:lineRule="auto"/>
        <w:jc w:val="center"/>
        <w:rPr>
          <w:rFonts w:ascii="华文中宋" w:hAnsi="华文中宋" w:eastAsia="华文中宋"/>
          <w:b/>
          <w:bCs/>
          <w:sz w:val="36"/>
          <w:szCs w:val="36"/>
        </w:rPr>
      </w:pPr>
      <w:bookmarkStart w:id="0" w:name="_GoBack"/>
      <w:bookmarkEnd w:id="0"/>
      <w:r>
        <w:rPr>
          <w:rFonts w:hint="eastAsia" w:ascii="宋体" w:hAnsi="宋体"/>
          <w:b/>
          <w:bCs/>
          <w:sz w:val="36"/>
          <w:szCs w:val="36"/>
        </w:rPr>
        <w:t>板业轧机电控系统维护优化项目招标公示表附件</w:t>
      </w:r>
    </w:p>
    <w:p>
      <w:pPr>
        <w:spacing w:line="360" w:lineRule="auto"/>
        <w:rPr>
          <w:szCs w:val="21"/>
        </w:rPr>
      </w:pPr>
    </w:p>
    <w:p>
      <w:pPr>
        <w:spacing w:line="360" w:lineRule="auto"/>
        <w:rPr>
          <w:b/>
          <w:sz w:val="24"/>
          <w:szCs w:val="24"/>
        </w:rPr>
      </w:pPr>
      <w:r>
        <w:rPr>
          <w:b/>
          <w:sz w:val="24"/>
          <w:szCs w:val="24"/>
        </w:rPr>
        <w:t>一、</w:t>
      </w:r>
      <w:r>
        <w:rPr>
          <w:rFonts w:hint="eastAsia"/>
          <w:b/>
          <w:sz w:val="24"/>
          <w:szCs w:val="24"/>
        </w:rPr>
        <w:t>机组</w:t>
      </w:r>
      <w:r>
        <w:rPr>
          <w:b/>
          <w:sz w:val="24"/>
          <w:szCs w:val="24"/>
        </w:rPr>
        <w:t>性能及参数</w:t>
      </w:r>
    </w:p>
    <w:p>
      <w:pPr>
        <w:spacing w:line="360" w:lineRule="auto"/>
        <w:outlineLvl w:val="0"/>
        <w:rPr>
          <w:rFonts w:ascii="Times New Roman" w:hAnsi="Times New Roman" w:eastAsia="宋体" w:cs="Times New Roman"/>
          <w:sz w:val="24"/>
          <w:szCs w:val="24"/>
        </w:rPr>
      </w:pPr>
      <w:r>
        <w:rPr>
          <w:rFonts w:hint="eastAsia" w:ascii="Times New Roman" w:hAnsi="Times New Roman" w:eastAsia="宋体" w:cs="宋体"/>
          <w:b/>
          <w:bCs/>
          <w:sz w:val="24"/>
          <w:szCs w:val="24"/>
        </w:rPr>
        <w:t>1、来料规格</w:t>
      </w:r>
    </w:p>
    <w:p>
      <w:pPr>
        <w:spacing w:line="360" w:lineRule="auto"/>
        <w:ind w:left="235" w:leftChars="112" w:firstLine="480" w:firstLineChars="200"/>
        <w:rPr>
          <w:rFonts w:ascii="宋体" w:hAnsi="Times New Roman" w:eastAsia="宋体" w:cs="Times New Roman"/>
          <w:sz w:val="24"/>
          <w:szCs w:val="24"/>
        </w:rPr>
      </w:pPr>
      <w:r>
        <w:rPr>
          <w:rFonts w:hint="eastAsia" w:ascii="宋体" w:hAnsi="宋体" w:eastAsia="宋体" w:cs="宋体"/>
          <w:sz w:val="24"/>
          <w:szCs w:val="24"/>
        </w:rPr>
        <w:t>材</w:t>
      </w:r>
      <w:r>
        <w:rPr>
          <w:rFonts w:ascii="宋体" w:hAnsi="宋体" w:eastAsia="宋体" w:cs="宋体"/>
          <w:sz w:val="24"/>
          <w:szCs w:val="24"/>
        </w:rPr>
        <w:t xml:space="preserve">    </w:t>
      </w:r>
      <w:r>
        <w:rPr>
          <w:rFonts w:hint="eastAsia" w:ascii="宋体" w:hAnsi="宋体" w:eastAsia="宋体" w:cs="宋体"/>
          <w:sz w:val="24"/>
          <w:szCs w:val="24"/>
        </w:rPr>
        <w:t>质：</w:t>
      </w:r>
      <w:r>
        <w:rPr>
          <w:rFonts w:ascii="宋体" w:hAnsi="宋体" w:eastAsia="宋体" w:cs="宋体"/>
          <w:sz w:val="24"/>
          <w:szCs w:val="24"/>
        </w:rPr>
        <w:t xml:space="preserve">      </w:t>
      </w:r>
      <w:r>
        <w:rPr>
          <w:rFonts w:hint="eastAsia" w:ascii="宋体" w:hAnsi="宋体" w:eastAsia="宋体" w:cs="宋体"/>
          <w:sz w:val="24"/>
          <w:szCs w:val="24"/>
        </w:rPr>
        <w:t>酸洗热轧带卷</w:t>
      </w:r>
      <w:r>
        <w:rPr>
          <w:rFonts w:ascii="宋体" w:hAnsi="宋体" w:eastAsia="宋体" w:cs="宋体"/>
          <w:sz w:val="24"/>
          <w:szCs w:val="24"/>
        </w:rPr>
        <w:t>Q195</w:t>
      </w:r>
      <w:r>
        <w:rPr>
          <w:rFonts w:hint="eastAsia" w:ascii="宋体" w:hAnsi="宋体" w:eastAsia="宋体" w:cs="宋体"/>
          <w:sz w:val="24"/>
          <w:szCs w:val="24"/>
        </w:rPr>
        <w:t>、</w:t>
      </w:r>
      <w:r>
        <w:rPr>
          <w:rFonts w:ascii="宋体" w:hAnsi="宋体" w:eastAsia="宋体" w:cs="宋体"/>
          <w:sz w:val="24"/>
          <w:szCs w:val="24"/>
        </w:rPr>
        <w:t>Q215</w:t>
      </w:r>
      <w:r>
        <w:rPr>
          <w:rFonts w:hint="eastAsia" w:ascii="宋体" w:hAnsi="宋体" w:eastAsia="宋体" w:cs="宋体"/>
          <w:sz w:val="24"/>
          <w:szCs w:val="24"/>
        </w:rPr>
        <w:t>、</w:t>
      </w:r>
      <w:r>
        <w:rPr>
          <w:rFonts w:ascii="宋体" w:hAnsi="宋体" w:eastAsia="宋体" w:cs="宋体"/>
          <w:sz w:val="24"/>
          <w:szCs w:val="24"/>
        </w:rPr>
        <w:t>08Al</w:t>
      </w:r>
      <w:r>
        <w:rPr>
          <w:rFonts w:hint="eastAsia" w:ascii="宋体" w:hAnsi="宋体" w:eastAsia="宋体" w:cs="宋体"/>
          <w:sz w:val="24"/>
          <w:szCs w:val="24"/>
        </w:rPr>
        <w:t>、</w:t>
      </w:r>
      <w:r>
        <w:rPr>
          <w:rFonts w:ascii="宋体" w:hAnsi="宋体" w:eastAsia="宋体" w:cs="宋体"/>
          <w:sz w:val="24"/>
          <w:szCs w:val="24"/>
        </w:rPr>
        <w:t>SPCC</w:t>
      </w:r>
      <w:r>
        <w:rPr>
          <w:rFonts w:hint="eastAsia" w:ascii="宋体" w:hAnsi="宋体" w:eastAsia="宋体" w:cs="宋体"/>
          <w:sz w:val="24"/>
          <w:szCs w:val="24"/>
        </w:rPr>
        <w:t>、</w:t>
      </w:r>
      <w:r>
        <w:rPr>
          <w:rFonts w:ascii="宋体" w:hAnsi="宋体" w:eastAsia="宋体" w:cs="宋体"/>
          <w:sz w:val="24"/>
          <w:szCs w:val="24"/>
        </w:rPr>
        <w:t>SPCD</w:t>
      </w:r>
      <w:r>
        <w:rPr>
          <w:rFonts w:hint="eastAsia" w:ascii="宋体" w:hAnsi="宋体" w:eastAsia="宋体" w:cs="宋体"/>
          <w:sz w:val="24"/>
          <w:szCs w:val="24"/>
        </w:rPr>
        <w:t>、</w:t>
      </w:r>
      <w:r>
        <w:rPr>
          <w:rFonts w:ascii="宋体" w:hAnsi="宋体" w:eastAsia="宋体" w:cs="宋体"/>
          <w:sz w:val="24"/>
          <w:szCs w:val="24"/>
        </w:rPr>
        <w:t>SPCE</w:t>
      </w:r>
      <w:r>
        <w:rPr>
          <w:rFonts w:hint="eastAsia" w:ascii="宋体" w:hAnsi="宋体" w:eastAsia="宋体" w:cs="宋体"/>
          <w:sz w:val="24"/>
          <w:szCs w:val="24"/>
        </w:rPr>
        <w:t>、</w:t>
      </w:r>
      <w:r>
        <w:rPr>
          <w:rFonts w:ascii="宋体" w:hAnsi="宋体" w:eastAsia="宋体" w:cs="宋体"/>
          <w:sz w:val="24"/>
          <w:szCs w:val="24"/>
        </w:rPr>
        <w:t>IF</w:t>
      </w:r>
      <w:r>
        <w:rPr>
          <w:rFonts w:hint="eastAsia" w:ascii="宋体" w:hAnsi="宋体" w:eastAsia="宋体" w:cs="宋体"/>
          <w:sz w:val="24"/>
          <w:szCs w:val="24"/>
        </w:rPr>
        <w:t>、</w:t>
      </w:r>
      <w:r>
        <w:rPr>
          <w:rFonts w:ascii="宋体" w:hAnsi="宋体" w:eastAsia="宋体" w:cs="宋体"/>
          <w:sz w:val="24"/>
          <w:szCs w:val="24"/>
        </w:rPr>
        <w:t>MR</w:t>
      </w:r>
      <w:r>
        <w:rPr>
          <w:rFonts w:hint="eastAsia" w:ascii="宋体" w:hAnsi="宋体" w:eastAsia="宋体" w:cs="宋体"/>
          <w:sz w:val="24"/>
          <w:szCs w:val="24"/>
        </w:rPr>
        <w:t>、</w:t>
      </w:r>
      <w:r>
        <w:rPr>
          <w:rFonts w:ascii="宋体" w:hAnsi="宋体" w:eastAsia="宋体" w:cs="宋体"/>
          <w:sz w:val="24"/>
          <w:szCs w:val="24"/>
        </w:rPr>
        <w:t>L</w:t>
      </w:r>
      <w:r>
        <w:rPr>
          <w:rFonts w:hint="eastAsia" w:ascii="宋体" w:hAnsi="宋体" w:eastAsia="宋体" w:cs="宋体"/>
          <w:sz w:val="24"/>
          <w:szCs w:val="24"/>
        </w:rPr>
        <w:t>、</w:t>
      </w:r>
      <w:r>
        <w:rPr>
          <w:rFonts w:ascii="宋体" w:hAnsi="宋体" w:eastAsia="宋体" w:cs="宋体"/>
          <w:sz w:val="24"/>
          <w:szCs w:val="24"/>
        </w:rPr>
        <w:t>D</w:t>
      </w:r>
      <w:r>
        <w:rPr>
          <w:rFonts w:hint="eastAsia" w:ascii="宋体" w:hAnsi="宋体" w:eastAsia="宋体" w:cs="宋体"/>
          <w:sz w:val="24"/>
          <w:szCs w:val="24"/>
        </w:rPr>
        <w:t>。</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机械性能：</w:t>
      </w:r>
      <w:r>
        <w:rPr>
          <w:rFonts w:ascii="宋体" w:hAnsi="宋体" w:eastAsia="宋体" w:cs="宋体"/>
          <w:sz w:val="24"/>
          <w:szCs w:val="24"/>
        </w:rPr>
        <w:t xml:space="preserve">      </w:t>
      </w:r>
      <w:r>
        <w:rPr>
          <w:rFonts w:hint="eastAsia" w:ascii="宋体" w:hAnsi="宋体" w:eastAsia="宋体" w:cs="宋体"/>
          <w:sz w:val="24"/>
          <w:szCs w:val="24"/>
        </w:rPr>
        <w:t>最大屈服极限</w:t>
      </w:r>
      <w:r>
        <w:rPr>
          <w:rFonts w:hint="eastAsia" w:ascii="宋体" w:hAnsi="Symbol" w:eastAsia="宋体" w:cs="Times New Roman"/>
          <w:sz w:val="24"/>
          <w:szCs w:val="24"/>
        </w:rPr>
        <w:sym w:font="Symbol" w:char="F073"/>
      </w:r>
      <w:r>
        <w:rPr>
          <w:rFonts w:ascii="宋体" w:hAnsi="宋体" w:eastAsia="宋体" w:cs="宋体"/>
          <w:sz w:val="24"/>
          <w:szCs w:val="24"/>
          <w:vertAlign w:val="subscript"/>
        </w:rPr>
        <w:t>S</w:t>
      </w:r>
      <w:r>
        <w:rPr>
          <w:rFonts w:hint="eastAsia" w:ascii="宋体" w:hAnsi="宋体" w:eastAsia="宋体" w:cs="宋体"/>
          <w:sz w:val="24"/>
          <w:szCs w:val="24"/>
        </w:rPr>
        <w:t>≤</w:t>
      </w:r>
      <w:r>
        <w:rPr>
          <w:rFonts w:ascii="宋体" w:hAnsi="宋体" w:eastAsia="宋体" w:cs="宋体"/>
          <w:sz w:val="24"/>
          <w:szCs w:val="24"/>
        </w:rPr>
        <w:t>350N/mm</w:t>
      </w:r>
      <w:r>
        <w:rPr>
          <w:rFonts w:ascii="宋体" w:hAnsi="宋体" w:eastAsia="宋体" w:cs="宋体"/>
          <w:sz w:val="24"/>
          <w:szCs w:val="24"/>
          <w:vertAlign w:val="superscript"/>
        </w:rPr>
        <w:t>2</w:t>
      </w:r>
      <w:r>
        <w:rPr>
          <w:rFonts w:hint="eastAsia" w:ascii="宋体" w:hAnsi="宋体" w:eastAsia="宋体" w:cs="宋体"/>
          <w:sz w:val="24"/>
          <w:szCs w:val="24"/>
        </w:rPr>
        <w:t>、σ</w:t>
      </w:r>
      <w:r>
        <w:rPr>
          <w:rFonts w:ascii="宋体" w:hAnsi="宋体" w:eastAsia="宋体" w:cs="宋体"/>
          <w:sz w:val="24"/>
          <w:szCs w:val="24"/>
          <w:vertAlign w:val="subscript"/>
        </w:rPr>
        <w:t>b</w:t>
      </w:r>
      <w:r>
        <w:rPr>
          <w:rFonts w:hint="eastAsia" w:ascii="宋体" w:hAnsi="宋体" w:eastAsia="宋体" w:cs="宋体"/>
          <w:sz w:val="24"/>
          <w:szCs w:val="24"/>
        </w:rPr>
        <w:t>≤</w:t>
      </w:r>
      <w:r>
        <w:rPr>
          <w:rFonts w:ascii="宋体" w:hAnsi="宋体" w:eastAsia="宋体" w:cs="宋体"/>
          <w:sz w:val="24"/>
          <w:szCs w:val="24"/>
        </w:rPr>
        <w:t>660N/mm</w:t>
      </w:r>
      <w:r>
        <w:rPr>
          <w:rFonts w:ascii="宋体" w:hAnsi="宋体" w:eastAsia="宋体" w:cs="宋体"/>
          <w:sz w:val="24"/>
          <w:szCs w:val="24"/>
          <w:vertAlign w:val="superscript"/>
        </w:rPr>
        <w:t>2</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厚</w:t>
      </w:r>
      <w:r>
        <w:rPr>
          <w:rFonts w:ascii="宋体" w:hAnsi="宋体" w:eastAsia="宋体" w:cs="宋体"/>
          <w:sz w:val="24"/>
          <w:szCs w:val="24"/>
        </w:rPr>
        <w:t xml:space="preserve">    </w:t>
      </w:r>
      <w:r>
        <w:rPr>
          <w:rFonts w:hint="eastAsia" w:ascii="宋体" w:hAnsi="宋体" w:eastAsia="宋体" w:cs="宋体"/>
          <w:sz w:val="24"/>
          <w:szCs w:val="24"/>
        </w:rPr>
        <w:t>度：</w:t>
      </w:r>
      <w:r>
        <w:rPr>
          <w:rFonts w:ascii="宋体" w:hAnsi="宋体" w:eastAsia="宋体" w:cs="宋体"/>
          <w:sz w:val="24"/>
          <w:szCs w:val="24"/>
        </w:rPr>
        <w:t xml:space="preserve">      1.8-3.5 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宽</w:t>
      </w:r>
      <w:r>
        <w:rPr>
          <w:rFonts w:ascii="宋体" w:hAnsi="宋体" w:eastAsia="宋体" w:cs="宋体"/>
          <w:sz w:val="24"/>
          <w:szCs w:val="24"/>
        </w:rPr>
        <w:t xml:space="preserve">    </w:t>
      </w:r>
      <w:r>
        <w:rPr>
          <w:rFonts w:hint="eastAsia" w:ascii="宋体" w:hAnsi="宋体" w:eastAsia="宋体" w:cs="宋体"/>
          <w:sz w:val="24"/>
          <w:szCs w:val="24"/>
        </w:rPr>
        <w:t>度：</w:t>
      </w:r>
      <w:r>
        <w:rPr>
          <w:rFonts w:ascii="宋体" w:hAnsi="宋体" w:eastAsia="宋体" w:cs="宋体"/>
          <w:sz w:val="24"/>
          <w:szCs w:val="24"/>
        </w:rPr>
        <w:t xml:space="preserve">      700-1100 mm</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内</w:t>
      </w:r>
      <w:r>
        <w:rPr>
          <w:rFonts w:ascii="宋体" w:hAnsi="宋体" w:eastAsia="宋体" w:cs="宋体"/>
          <w:sz w:val="24"/>
          <w:szCs w:val="24"/>
        </w:rPr>
        <w:t xml:space="preserve"> </w:t>
      </w:r>
      <w:r>
        <w:rPr>
          <w:rFonts w:hint="eastAsia" w:ascii="宋体" w:hAnsi="宋体" w:eastAsia="宋体" w:cs="宋体"/>
          <w:sz w:val="24"/>
          <w:szCs w:val="24"/>
        </w:rPr>
        <w:t>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508</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外</w:t>
      </w:r>
      <w:r>
        <w:rPr>
          <w:rFonts w:ascii="宋体" w:hAnsi="宋体" w:eastAsia="宋体" w:cs="宋体"/>
          <w:sz w:val="24"/>
          <w:szCs w:val="24"/>
        </w:rPr>
        <w:t xml:space="preserve"> </w:t>
      </w:r>
      <w:r>
        <w:rPr>
          <w:rFonts w:hint="eastAsia" w:ascii="宋体" w:hAnsi="宋体" w:eastAsia="宋体" w:cs="宋体"/>
          <w:sz w:val="24"/>
          <w:szCs w:val="24"/>
        </w:rPr>
        <w:t>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900-</w:t>
      </w:r>
      <w:r>
        <w:rPr>
          <w:rFonts w:hint="eastAsia" w:ascii="宋体" w:hAnsi="宋体" w:eastAsia="宋体" w:cs="宋体"/>
          <w:sz w:val="24"/>
          <w:szCs w:val="24"/>
        </w:rPr>
        <w:t>φ</w:t>
      </w:r>
      <w:r>
        <w:rPr>
          <w:rFonts w:ascii="宋体" w:hAnsi="宋体" w:eastAsia="宋体" w:cs="宋体"/>
          <w:sz w:val="24"/>
          <w:szCs w:val="24"/>
        </w:rPr>
        <w:t>1900 mm</w:t>
      </w:r>
    </w:p>
    <w:p>
      <w:pPr>
        <w:spacing w:line="360" w:lineRule="auto"/>
        <w:ind w:firstLine="720" w:firstLineChars="300"/>
        <w:rPr>
          <w:rFonts w:ascii="Times New Roman" w:hAnsi="Times New Roman" w:eastAsia="宋体" w:cs="Times New Roman"/>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重：</w:t>
      </w:r>
      <w:r>
        <w:rPr>
          <w:rFonts w:ascii="宋体" w:hAnsi="宋体" w:eastAsia="宋体" w:cs="宋体"/>
          <w:sz w:val="24"/>
          <w:szCs w:val="24"/>
        </w:rPr>
        <w:t xml:space="preserve">       Max 20T</w:t>
      </w:r>
    </w:p>
    <w:p>
      <w:pPr>
        <w:spacing w:line="360" w:lineRule="auto"/>
        <w:outlineLvl w:val="0"/>
        <w:rPr>
          <w:rFonts w:ascii="Times New Roman" w:hAnsi="Times New Roman" w:eastAsia="宋体" w:cs="Times New Roman"/>
          <w:sz w:val="24"/>
          <w:szCs w:val="24"/>
        </w:rPr>
      </w:pPr>
      <w:r>
        <w:rPr>
          <w:rFonts w:ascii="Times New Roman" w:hAnsi="Times New Roman" w:eastAsia="宋体" w:cs="Times New Roman"/>
          <w:sz w:val="24"/>
          <w:szCs w:val="24"/>
        </w:rPr>
        <w:t xml:space="preserve">2、 </w:t>
      </w:r>
      <w:r>
        <w:rPr>
          <w:rFonts w:hint="eastAsia" w:ascii="Times New Roman" w:hAnsi="Times New Roman" w:eastAsia="宋体" w:cs="宋体"/>
          <w:b/>
          <w:bCs/>
          <w:sz w:val="24"/>
          <w:szCs w:val="24"/>
        </w:rPr>
        <w:t>成品规格</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厚</w:t>
      </w:r>
      <w:r>
        <w:rPr>
          <w:rFonts w:ascii="宋体" w:hAnsi="宋体" w:eastAsia="宋体" w:cs="宋体"/>
          <w:sz w:val="24"/>
          <w:szCs w:val="24"/>
        </w:rPr>
        <w:t xml:space="preserve">    </w:t>
      </w:r>
      <w:r>
        <w:rPr>
          <w:rFonts w:hint="eastAsia" w:ascii="宋体" w:hAnsi="宋体" w:eastAsia="宋体" w:cs="宋体"/>
          <w:sz w:val="24"/>
          <w:szCs w:val="24"/>
        </w:rPr>
        <w:t>度：</w:t>
      </w:r>
      <w:r>
        <w:rPr>
          <w:rFonts w:ascii="宋体" w:hAnsi="宋体" w:eastAsia="宋体" w:cs="宋体"/>
          <w:sz w:val="24"/>
          <w:szCs w:val="24"/>
        </w:rPr>
        <w:t xml:space="preserve">      0.1</w:t>
      </w:r>
      <w:r>
        <w:rPr>
          <w:rFonts w:hint="eastAsia" w:ascii="宋体" w:hAnsi="宋体" w:eastAsia="宋体" w:cs="宋体"/>
          <w:sz w:val="24"/>
          <w:szCs w:val="24"/>
        </w:rPr>
        <w:t>2</w:t>
      </w:r>
      <w:r>
        <w:rPr>
          <w:rFonts w:ascii="宋体" w:hAnsi="宋体" w:eastAsia="宋体" w:cs="宋体"/>
          <w:sz w:val="24"/>
          <w:szCs w:val="24"/>
        </w:rPr>
        <w:t>-1.2 mm</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宽</w:t>
      </w:r>
      <w:r>
        <w:rPr>
          <w:rFonts w:ascii="宋体" w:hAnsi="宋体" w:eastAsia="宋体" w:cs="宋体"/>
          <w:sz w:val="24"/>
          <w:szCs w:val="24"/>
        </w:rPr>
        <w:t xml:space="preserve">    </w:t>
      </w:r>
      <w:r>
        <w:rPr>
          <w:rFonts w:hint="eastAsia" w:ascii="宋体" w:hAnsi="宋体" w:eastAsia="宋体" w:cs="宋体"/>
          <w:sz w:val="24"/>
          <w:szCs w:val="24"/>
        </w:rPr>
        <w:t>度：</w:t>
      </w:r>
      <w:r>
        <w:rPr>
          <w:rFonts w:ascii="宋体" w:hAnsi="宋体" w:eastAsia="宋体" w:cs="宋体"/>
          <w:sz w:val="24"/>
          <w:szCs w:val="24"/>
        </w:rPr>
        <w:t xml:space="preserve">      700-1100 mm</w:t>
      </w:r>
      <w:r>
        <w:rPr>
          <w:rFonts w:hint="eastAsia" w:ascii="宋体" w:hAnsi="宋体" w:eastAsia="宋体" w:cs="宋体"/>
          <w:sz w:val="24"/>
          <w:szCs w:val="24"/>
        </w:rPr>
        <w:t>（通板宽度≥</w:t>
      </w:r>
      <w:r>
        <w:rPr>
          <w:rFonts w:ascii="宋体" w:hAnsi="宋体" w:eastAsia="宋体" w:cs="宋体"/>
          <w:sz w:val="24"/>
          <w:szCs w:val="24"/>
        </w:rPr>
        <w:t>1200mm</w:t>
      </w:r>
      <w:r>
        <w:rPr>
          <w:rFonts w:hint="eastAsia" w:ascii="宋体" w:hAnsi="宋体" w:eastAsia="宋体" w:cs="宋体"/>
          <w:sz w:val="24"/>
          <w:szCs w:val="24"/>
        </w:rPr>
        <w:t>）</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内</w:t>
      </w:r>
      <w:r>
        <w:rPr>
          <w:rFonts w:ascii="宋体" w:hAnsi="宋体" w:eastAsia="宋体" w:cs="宋体"/>
          <w:sz w:val="24"/>
          <w:szCs w:val="24"/>
        </w:rPr>
        <w:t xml:space="preserve"> </w:t>
      </w:r>
      <w:r>
        <w:rPr>
          <w:rFonts w:hint="eastAsia" w:ascii="宋体" w:hAnsi="宋体" w:eastAsia="宋体" w:cs="宋体"/>
          <w:sz w:val="24"/>
          <w:szCs w:val="24"/>
        </w:rPr>
        <w:t>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508 mm</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外</w:t>
      </w:r>
      <w:r>
        <w:rPr>
          <w:rFonts w:ascii="宋体" w:hAnsi="宋体" w:eastAsia="宋体" w:cs="宋体"/>
          <w:sz w:val="24"/>
          <w:szCs w:val="24"/>
        </w:rPr>
        <w:t xml:space="preserve"> </w:t>
      </w:r>
      <w:r>
        <w:rPr>
          <w:rFonts w:hint="eastAsia" w:ascii="宋体" w:hAnsi="宋体" w:eastAsia="宋体" w:cs="宋体"/>
          <w:sz w:val="24"/>
          <w:szCs w:val="24"/>
        </w:rPr>
        <w:t>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900-</w:t>
      </w:r>
      <w:r>
        <w:rPr>
          <w:rFonts w:hint="eastAsia" w:ascii="宋体" w:hAnsi="宋体" w:eastAsia="宋体" w:cs="宋体"/>
          <w:sz w:val="24"/>
          <w:szCs w:val="24"/>
        </w:rPr>
        <w:t>φ</w:t>
      </w:r>
      <w:r>
        <w:rPr>
          <w:rFonts w:ascii="宋体" w:hAnsi="宋体" w:eastAsia="宋体" w:cs="宋体"/>
          <w:sz w:val="24"/>
          <w:szCs w:val="24"/>
        </w:rPr>
        <w:t>1900 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卷</w:t>
      </w:r>
      <w:r>
        <w:rPr>
          <w:rFonts w:ascii="宋体" w:hAnsi="宋体" w:eastAsia="宋体" w:cs="宋体"/>
          <w:sz w:val="24"/>
          <w:szCs w:val="24"/>
        </w:rPr>
        <w:t xml:space="preserve">    </w:t>
      </w:r>
      <w:r>
        <w:rPr>
          <w:rFonts w:hint="eastAsia" w:ascii="宋体" w:hAnsi="宋体" w:eastAsia="宋体" w:cs="宋体"/>
          <w:sz w:val="24"/>
          <w:szCs w:val="24"/>
        </w:rPr>
        <w:t>重：</w:t>
      </w:r>
      <w:r>
        <w:rPr>
          <w:rFonts w:ascii="宋体" w:hAnsi="宋体" w:eastAsia="宋体" w:cs="宋体"/>
          <w:sz w:val="24"/>
          <w:szCs w:val="24"/>
        </w:rPr>
        <w:t xml:space="preserve">      Max 20T</w:t>
      </w:r>
    </w:p>
    <w:p>
      <w:pPr>
        <w:spacing w:line="360" w:lineRule="auto"/>
        <w:outlineLvl w:val="0"/>
        <w:rPr>
          <w:rFonts w:ascii="Times New Roman" w:hAnsi="Times New Roman" w:eastAsia="宋体" w:cs="Times New Roman"/>
          <w:b/>
          <w:bCs/>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w:t>
      </w:r>
      <w:r>
        <w:rPr>
          <w:rFonts w:hint="eastAsia" w:ascii="Times New Roman" w:hAnsi="Times New Roman" w:eastAsia="宋体" w:cs="宋体"/>
          <w:b/>
          <w:bCs/>
          <w:sz w:val="24"/>
          <w:szCs w:val="24"/>
        </w:rPr>
        <w:t>主要技术参数</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轧机规格：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1150/</w:t>
      </w:r>
      <w:r>
        <w:rPr>
          <w:rFonts w:hint="eastAsia" w:ascii="宋体" w:hAnsi="宋体" w:eastAsia="宋体" w:cs="宋体"/>
          <w:sz w:val="24"/>
          <w:szCs w:val="24"/>
        </w:rPr>
        <w:t>φ</w:t>
      </w:r>
      <w:r>
        <w:rPr>
          <w:rFonts w:ascii="宋体" w:hAnsi="宋体" w:eastAsia="宋体" w:cs="宋体"/>
          <w:sz w:val="24"/>
          <w:szCs w:val="24"/>
        </w:rPr>
        <w:t>400/</w:t>
      </w:r>
      <w:r>
        <w:rPr>
          <w:rFonts w:hint="eastAsia" w:ascii="宋体" w:hAnsi="宋体" w:eastAsia="宋体" w:cs="宋体"/>
          <w:sz w:val="24"/>
          <w:szCs w:val="24"/>
        </w:rPr>
        <w:t>φ</w:t>
      </w:r>
      <w:r>
        <w:rPr>
          <w:rFonts w:ascii="宋体" w:hAnsi="宋体" w:eastAsia="宋体" w:cs="宋体"/>
          <w:sz w:val="24"/>
          <w:szCs w:val="24"/>
        </w:rPr>
        <w:t>340</w:t>
      </w:r>
      <w:r>
        <w:rPr>
          <w:rFonts w:hint="eastAsia" w:ascii="宋体" w:hAnsi="Symbol" w:eastAsia="宋体" w:cs="Times New Roman"/>
          <w:sz w:val="24"/>
          <w:szCs w:val="24"/>
        </w:rPr>
        <w:sym w:font="Symbol" w:char="F0B4"/>
      </w:r>
      <w:r>
        <w:rPr>
          <w:rFonts w:ascii="宋体" w:hAnsi="宋体" w:eastAsia="宋体" w:cs="宋体"/>
          <w:sz w:val="24"/>
          <w:szCs w:val="24"/>
        </w:rPr>
        <w:t>1250mm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最大轧制压力：</w:t>
      </w:r>
      <w:r>
        <w:rPr>
          <w:rFonts w:ascii="宋体" w:hAnsi="宋体" w:eastAsia="宋体" w:cs="宋体"/>
          <w:sz w:val="24"/>
          <w:szCs w:val="24"/>
        </w:rPr>
        <w:t xml:space="preserve">  15000 KN</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最大轧制力矩：</w:t>
      </w:r>
      <w:r>
        <w:rPr>
          <w:rFonts w:ascii="宋体" w:hAnsi="宋体" w:eastAsia="宋体" w:cs="宋体"/>
          <w:sz w:val="24"/>
          <w:szCs w:val="24"/>
        </w:rPr>
        <w:t xml:space="preserve">  100KN</w:t>
      </w:r>
      <w:r>
        <w:rPr>
          <w:rFonts w:hint="eastAsia" w:ascii="宋体" w:hAnsi="宋体" w:eastAsia="宋体" w:cs="宋体"/>
          <w:sz w:val="24"/>
          <w:szCs w:val="24"/>
        </w:rPr>
        <w:t>·</w:t>
      </w:r>
      <w:r>
        <w:rPr>
          <w:rFonts w:ascii="宋体" w:hAnsi="宋体" w:eastAsia="宋体" w:cs="宋体"/>
          <w:sz w:val="24"/>
          <w:szCs w:val="24"/>
        </w:rPr>
        <w:t>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穿带速度：</w:t>
      </w:r>
      <w:r>
        <w:rPr>
          <w:rFonts w:ascii="宋体" w:hAnsi="宋体" w:eastAsia="宋体" w:cs="宋体"/>
          <w:sz w:val="24"/>
          <w:szCs w:val="24"/>
        </w:rPr>
        <w:t xml:space="preserve">      0-30 m/min</w:t>
      </w:r>
    </w:p>
    <w:p>
      <w:pPr>
        <w:spacing w:line="360" w:lineRule="auto"/>
        <w:ind w:firstLine="720" w:firstLineChars="300"/>
        <w:rPr>
          <w:rFonts w:ascii="宋体" w:hAnsi="宋体" w:eastAsia="宋体" w:cs="宋体"/>
          <w:b/>
          <w:sz w:val="24"/>
          <w:szCs w:val="24"/>
        </w:rPr>
      </w:pPr>
      <w:r>
        <w:rPr>
          <w:rFonts w:hint="eastAsia" w:ascii="宋体" w:hAnsi="宋体" w:eastAsia="宋体" w:cs="宋体"/>
          <w:sz w:val="24"/>
          <w:szCs w:val="24"/>
        </w:rPr>
        <w:t>轧制速度：</w:t>
      </w:r>
      <w:r>
        <w:rPr>
          <w:rFonts w:ascii="宋体" w:hAnsi="宋体" w:eastAsia="宋体" w:cs="宋体"/>
          <w:sz w:val="24"/>
          <w:szCs w:val="24"/>
        </w:rPr>
        <w:t xml:space="preserve">      </w:t>
      </w:r>
      <w:r>
        <w:rPr>
          <w:rFonts w:hint="eastAsia" w:ascii="宋体" w:hAnsi="宋体" w:eastAsia="宋体" w:cs="宋体"/>
          <w:b/>
          <w:sz w:val="24"/>
          <w:szCs w:val="24"/>
        </w:rPr>
        <w:t>原设计</w:t>
      </w:r>
      <w:r>
        <w:rPr>
          <w:rFonts w:ascii="宋体" w:hAnsi="宋体" w:eastAsia="宋体" w:cs="宋体"/>
          <w:b/>
          <w:sz w:val="24"/>
          <w:szCs w:val="24"/>
        </w:rPr>
        <w:t>0-490-1200 m/min，当前使用低速挡，最高速度</w:t>
      </w:r>
      <w:r>
        <w:rPr>
          <w:rFonts w:hint="eastAsia" w:ascii="宋体" w:hAnsi="宋体" w:eastAsia="宋体" w:cs="宋体"/>
          <w:b/>
          <w:sz w:val="24"/>
          <w:szCs w:val="24"/>
        </w:rPr>
        <w:t>1000m/min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开卷张力：</w:t>
      </w:r>
      <w:r>
        <w:rPr>
          <w:rFonts w:ascii="宋体" w:hAnsi="宋体" w:eastAsia="宋体" w:cs="宋体"/>
          <w:sz w:val="24"/>
          <w:szCs w:val="24"/>
        </w:rPr>
        <w:t xml:space="preserve">      6-60 KN</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卷取张力：</w:t>
      </w:r>
      <w:r>
        <w:rPr>
          <w:rFonts w:ascii="宋体" w:hAnsi="宋体" w:eastAsia="宋体" w:cs="宋体"/>
          <w:sz w:val="24"/>
          <w:szCs w:val="24"/>
        </w:rPr>
        <w:t xml:space="preserve">      14-140KN</w:t>
      </w:r>
      <w:r>
        <w:rPr>
          <w:rFonts w:hint="eastAsia" w:ascii="宋体" w:hAnsi="宋体" w:eastAsia="宋体" w:cs="宋体"/>
          <w:sz w:val="24"/>
          <w:szCs w:val="24"/>
        </w:rPr>
        <w:t>（</w:t>
      </w:r>
      <w:r>
        <w:rPr>
          <w:rFonts w:ascii="宋体" w:hAnsi="宋体" w:eastAsia="宋体" w:cs="宋体"/>
          <w:sz w:val="24"/>
          <w:szCs w:val="24"/>
        </w:rPr>
        <w:t>V</w:t>
      </w:r>
      <w:r>
        <w:rPr>
          <w:rFonts w:hint="eastAsia" w:ascii="宋体" w:hAnsi="宋体" w:eastAsia="宋体" w:cs="宋体"/>
          <w:sz w:val="24"/>
          <w:szCs w:val="24"/>
        </w:rPr>
        <w:t>＜</w:t>
      </w:r>
      <w:r>
        <w:rPr>
          <w:rFonts w:ascii="宋体" w:hAnsi="宋体" w:eastAsia="宋体" w:cs="宋体"/>
          <w:sz w:val="24"/>
          <w:szCs w:val="24"/>
        </w:rPr>
        <w:t>680m/min)</w:t>
      </w:r>
    </w:p>
    <w:p>
      <w:pPr>
        <w:spacing w:line="360" w:lineRule="auto"/>
        <w:ind w:firstLine="720" w:firstLineChars="300"/>
        <w:rPr>
          <w:rFonts w:ascii="宋体" w:hAnsi="宋体" w:eastAsia="宋体" w:cs="宋体"/>
          <w:sz w:val="24"/>
          <w:szCs w:val="24"/>
        </w:rPr>
      </w:pPr>
      <w:r>
        <w:rPr>
          <w:rFonts w:ascii="宋体" w:hAnsi="宋体" w:eastAsia="宋体" w:cs="宋体"/>
          <w:sz w:val="24"/>
          <w:szCs w:val="24"/>
        </w:rPr>
        <w:t xml:space="preserve">                7-7.5 KN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最大卷取速度：</w:t>
      </w:r>
      <w:r>
        <w:rPr>
          <w:rFonts w:ascii="宋体" w:hAnsi="宋体" w:eastAsia="宋体" w:cs="宋体"/>
          <w:sz w:val="24"/>
          <w:szCs w:val="24"/>
        </w:rPr>
        <w:t xml:space="preserve">  1260 m/min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工作辊规格：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340-</w:t>
      </w:r>
      <w:r>
        <w:rPr>
          <w:rFonts w:hint="eastAsia" w:ascii="宋体" w:hAnsi="宋体" w:eastAsia="宋体" w:cs="宋体"/>
          <w:sz w:val="24"/>
          <w:szCs w:val="24"/>
        </w:rPr>
        <w:t>φ</w:t>
      </w:r>
      <w:r>
        <w:rPr>
          <w:rFonts w:ascii="宋体" w:hAnsi="宋体" w:eastAsia="宋体" w:cs="宋体"/>
          <w:sz w:val="24"/>
          <w:szCs w:val="24"/>
        </w:rPr>
        <w:t>300</w:t>
      </w:r>
      <w:r>
        <w:rPr>
          <w:rFonts w:hint="eastAsia" w:ascii="宋体" w:hAnsi="Symbol" w:eastAsia="宋体" w:cs="Times New Roman"/>
          <w:sz w:val="24"/>
          <w:szCs w:val="24"/>
        </w:rPr>
        <w:sym w:font="Symbol" w:char="F0B4"/>
      </w:r>
      <w:r>
        <w:rPr>
          <w:rFonts w:ascii="宋体" w:hAnsi="宋体" w:eastAsia="宋体" w:cs="宋体"/>
          <w:sz w:val="24"/>
          <w:szCs w:val="24"/>
        </w:rPr>
        <w:t>1250mm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中间辊规格：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400-</w:t>
      </w:r>
      <w:r>
        <w:rPr>
          <w:rFonts w:hint="eastAsia" w:ascii="宋体" w:hAnsi="宋体" w:eastAsia="宋体" w:cs="宋体"/>
          <w:sz w:val="24"/>
          <w:szCs w:val="24"/>
        </w:rPr>
        <w:t>φ</w:t>
      </w:r>
      <w:r>
        <w:rPr>
          <w:rFonts w:ascii="宋体" w:hAnsi="宋体" w:eastAsia="宋体" w:cs="宋体"/>
          <w:sz w:val="24"/>
          <w:szCs w:val="24"/>
        </w:rPr>
        <w:t>360</w:t>
      </w:r>
      <w:r>
        <w:rPr>
          <w:rFonts w:hint="eastAsia" w:ascii="宋体" w:hAnsi="Symbol" w:eastAsia="宋体" w:cs="Times New Roman"/>
          <w:sz w:val="24"/>
          <w:szCs w:val="24"/>
        </w:rPr>
        <w:sym w:font="Symbol" w:char="F0B4"/>
      </w:r>
      <w:r>
        <w:rPr>
          <w:rFonts w:ascii="宋体" w:hAnsi="宋体" w:eastAsia="宋体" w:cs="宋体"/>
          <w:sz w:val="24"/>
          <w:szCs w:val="24"/>
        </w:rPr>
        <w:t>1250mm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支承辊规格：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1150-</w:t>
      </w:r>
      <w:r>
        <w:rPr>
          <w:rFonts w:hint="eastAsia" w:ascii="宋体" w:hAnsi="宋体" w:eastAsia="宋体" w:cs="宋体"/>
          <w:sz w:val="24"/>
          <w:szCs w:val="24"/>
        </w:rPr>
        <w:t>φ</w:t>
      </w:r>
      <w:r>
        <w:rPr>
          <w:rFonts w:ascii="宋体" w:hAnsi="宋体" w:eastAsia="宋体" w:cs="宋体"/>
          <w:sz w:val="24"/>
          <w:szCs w:val="24"/>
        </w:rPr>
        <w:t>1050</w:t>
      </w:r>
      <w:r>
        <w:rPr>
          <w:rFonts w:hint="eastAsia" w:ascii="宋体" w:hAnsi="Symbol" w:eastAsia="宋体" w:cs="Times New Roman"/>
          <w:sz w:val="24"/>
          <w:szCs w:val="24"/>
        </w:rPr>
        <w:sym w:font="Symbol" w:char="F0B4"/>
      </w:r>
      <w:r>
        <w:rPr>
          <w:rFonts w:ascii="宋体" w:hAnsi="宋体" w:eastAsia="宋体" w:cs="宋体"/>
          <w:sz w:val="24"/>
          <w:szCs w:val="24"/>
        </w:rPr>
        <w:t>1200 mm</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开卷机卷筒直径：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460-</w:t>
      </w:r>
      <w:r>
        <w:rPr>
          <w:rFonts w:hint="eastAsia" w:ascii="宋体" w:hAnsi="宋体" w:eastAsia="宋体" w:cs="宋体"/>
          <w:sz w:val="24"/>
          <w:szCs w:val="24"/>
        </w:rPr>
        <w:t>φ</w:t>
      </w:r>
      <w:r>
        <w:rPr>
          <w:rFonts w:ascii="宋体" w:hAnsi="宋体" w:eastAsia="宋体" w:cs="宋体"/>
          <w:sz w:val="24"/>
          <w:szCs w:val="24"/>
        </w:rPr>
        <w:t>520mm</w:t>
      </w:r>
      <w:r>
        <w:rPr>
          <w:rFonts w:hint="eastAsia" w:ascii="宋体" w:hAnsi="宋体" w:eastAsia="宋体" w:cs="宋体"/>
          <w:sz w:val="24"/>
          <w:szCs w:val="24"/>
        </w:rPr>
        <w:t>（正圆φ</w:t>
      </w:r>
      <w:r>
        <w:rPr>
          <w:rFonts w:ascii="宋体" w:hAnsi="宋体" w:eastAsia="宋体" w:cs="宋体"/>
          <w:sz w:val="24"/>
          <w:szCs w:val="24"/>
        </w:rPr>
        <w:t>508mm</w:t>
      </w:r>
      <w:r>
        <w:rPr>
          <w:rFonts w:hint="eastAsia" w:ascii="宋体" w:hAnsi="宋体" w:eastAsia="宋体" w:cs="宋体"/>
          <w:sz w:val="24"/>
          <w:szCs w:val="24"/>
        </w:rPr>
        <w:t>）</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卷取机卷筒直径：</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485~</w:t>
      </w:r>
      <w:r>
        <w:rPr>
          <w:rFonts w:hint="eastAsia" w:ascii="宋体" w:hAnsi="宋体" w:eastAsia="宋体" w:cs="宋体"/>
          <w:sz w:val="24"/>
          <w:szCs w:val="24"/>
        </w:rPr>
        <w:t>φ</w:t>
      </w:r>
      <w:r>
        <w:rPr>
          <w:rFonts w:ascii="宋体" w:hAnsi="宋体" w:eastAsia="宋体" w:cs="宋体"/>
          <w:sz w:val="24"/>
          <w:szCs w:val="24"/>
        </w:rPr>
        <w:t>508mm</w:t>
      </w:r>
      <w:r>
        <w:rPr>
          <w:rFonts w:hint="eastAsia" w:ascii="宋体" w:hAnsi="宋体" w:eastAsia="宋体" w:cs="宋体"/>
          <w:sz w:val="24"/>
          <w:szCs w:val="24"/>
        </w:rPr>
        <w:t>（正圆φ</w:t>
      </w:r>
      <w:r>
        <w:rPr>
          <w:rFonts w:ascii="宋体" w:hAnsi="宋体" w:eastAsia="宋体" w:cs="宋体"/>
          <w:sz w:val="24"/>
          <w:szCs w:val="24"/>
        </w:rPr>
        <w:t>508mm</w:t>
      </w:r>
      <w:r>
        <w:rPr>
          <w:rFonts w:hint="eastAsia" w:ascii="宋体" w:hAnsi="宋体" w:eastAsia="宋体" w:cs="宋体"/>
          <w:sz w:val="24"/>
          <w:szCs w:val="24"/>
        </w:rPr>
        <w:t>）</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偏导辊规格：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400</w:t>
      </w:r>
      <w:r>
        <w:rPr>
          <w:rFonts w:hint="eastAsia" w:ascii="宋体" w:hAnsi="Symbol" w:eastAsia="宋体" w:cs="Times New Roman"/>
          <w:sz w:val="24"/>
          <w:szCs w:val="24"/>
        </w:rPr>
        <w:sym w:font="Symbol" w:char="F0B4"/>
      </w:r>
      <w:r>
        <w:rPr>
          <w:rFonts w:ascii="宋体" w:hAnsi="宋体" w:eastAsia="宋体" w:cs="宋体"/>
          <w:sz w:val="24"/>
          <w:szCs w:val="24"/>
        </w:rPr>
        <w:t>1250mm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引料辊规格：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200</w:t>
      </w:r>
      <w:r>
        <w:rPr>
          <w:rFonts w:hint="eastAsia" w:ascii="宋体" w:hAnsi="Symbol" w:eastAsia="宋体" w:cs="Times New Roman"/>
          <w:sz w:val="24"/>
          <w:szCs w:val="24"/>
        </w:rPr>
        <w:sym w:font="Symbol" w:char="F0B4"/>
      </w:r>
      <w:r>
        <w:rPr>
          <w:rFonts w:ascii="宋体" w:hAnsi="宋体" w:eastAsia="宋体" w:cs="宋体"/>
          <w:sz w:val="24"/>
          <w:szCs w:val="24"/>
        </w:rPr>
        <w:t>1000mm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展平辊规格：</w:t>
      </w:r>
      <w:r>
        <w:rPr>
          <w:rFonts w:ascii="宋体" w:hAnsi="宋体" w:eastAsia="宋体" w:cs="宋体"/>
          <w:sz w:val="24"/>
          <w:szCs w:val="24"/>
        </w:rPr>
        <w:t xml:space="preserve">      </w:t>
      </w:r>
      <w:r>
        <w:rPr>
          <w:rFonts w:hint="eastAsia" w:ascii="宋体" w:hAnsi="宋体" w:eastAsia="宋体" w:cs="宋体"/>
          <w:sz w:val="24"/>
          <w:szCs w:val="24"/>
        </w:rPr>
        <w:t>φ</w:t>
      </w:r>
      <w:r>
        <w:rPr>
          <w:rFonts w:ascii="宋体" w:hAnsi="宋体" w:eastAsia="宋体" w:cs="宋体"/>
          <w:sz w:val="24"/>
          <w:szCs w:val="24"/>
        </w:rPr>
        <w:t>220</w:t>
      </w:r>
      <w:r>
        <w:rPr>
          <w:rFonts w:hint="eastAsia" w:ascii="宋体" w:hAnsi="Symbol" w:eastAsia="宋体" w:cs="Times New Roman"/>
          <w:sz w:val="24"/>
          <w:szCs w:val="24"/>
        </w:rPr>
        <w:sym w:font="Symbol" w:char="F0B4"/>
      </w:r>
      <w:r>
        <w:rPr>
          <w:rFonts w:ascii="宋体" w:hAnsi="宋体" w:eastAsia="宋体" w:cs="宋体"/>
          <w:sz w:val="24"/>
          <w:szCs w:val="24"/>
        </w:rPr>
        <w:t>1</w:t>
      </w:r>
      <w:r>
        <w:rPr>
          <w:rFonts w:hint="eastAsia" w:ascii="宋体" w:hAnsi="宋体" w:eastAsia="宋体" w:cs="宋体"/>
          <w:sz w:val="24"/>
          <w:szCs w:val="24"/>
        </w:rPr>
        <w:t>2</w:t>
      </w:r>
      <w:r>
        <w:rPr>
          <w:rFonts w:ascii="宋体" w:hAnsi="宋体" w:eastAsia="宋体" w:cs="宋体"/>
          <w:sz w:val="24"/>
          <w:szCs w:val="24"/>
        </w:rPr>
        <w:t>50mm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工作辊最大开口度：</w:t>
      </w:r>
      <w:r>
        <w:rPr>
          <w:rFonts w:ascii="宋体" w:hAnsi="宋体" w:eastAsia="宋体" w:cs="宋体"/>
          <w:sz w:val="24"/>
          <w:szCs w:val="24"/>
        </w:rPr>
        <w:t xml:space="preserve">         20mm</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工作辊弯辊力（单边正</w:t>
      </w:r>
      <w:r>
        <w:rPr>
          <w:rFonts w:ascii="宋体" w:hAnsi="宋体" w:eastAsia="宋体" w:cs="宋体"/>
          <w:sz w:val="24"/>
          <w:szCs w:val="24"/>
        </w:rPr>
        <w:t>/</w:t>
      </w:r>
      <w:r>
        <w:rPr>
          <w:rFonts w:hint="eastAsia" w:ascii="宋体" w:hAnsi="宋体" w:eastAsia="宋体" w:cs="宋体"/>
          <w:sz w:val="24"/>
          <w:szCs w:val="24"/>
        </w:rPr>
        <w:t>负）：</w:t>
      </w:r>
      <w:r>
        <w:rPr>
          <w:rFonts w:ascii="宋体" w:hAnsi="宋体" w:eastAsia="宋体" w:cs="宋体"/>
          <w:sz w:val="24"/>
          <w:szCs w:val="24"/>
        </w:rPr>
        <w:t>350/210KN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中间辊单边弯辊力：</w:t>
      </w:r>
      <w:r>
        <w:rPr>
          <w:rFonts w:ascii="宋体" w:hAnsi="宋体" w:eastAsia="宋体" w:cs="宋体"/>
          <w:sz w:val="24"/>
          <w:szCs w:val="24"/>
        </w:rPr>
        <w:t xml:space="preserve">         350KN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中间辊横移力：</w:t>
      </w:r>
      <w:r>
        <w:rPr>
          <w:rFonts w:ascii="宋体" w:hAnsi="宋体" w:eastAsia="宋体" w:cs="宋体"/>
          <w:sz w:val="24"/>
          <w:szCs w:val="24"/>
        </w:rPr>
        <w:t xml:space="preserve">             550/350KN</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中间辊横移量：</w:t>
      </w:r>
      <w:r>
        <w:rPr>
          <w:rFonts w:ascii="宋体" w:hAnsi="宋体" w:eastAsia="宋体" w:cs="宋体"/>
          <w:sz w:val="24"/>
          <w:szCs w:val="24"/>
        </w:rPr>
        <w:t xml:space="preserve">             250mm</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冷却介质：</w:t>
      </w:r>
      <w:r>
        <w:rPr>
          <w:rFonts w:ascii="宋体" w:hAnsi="宋体" w:eastAsia="宋体" w:cs="宋体"/>
          <w:sz w:val="24"/>
          <w:szCs w:val="24"/>
        </w:rPr>
        <w:t xml:space="preserve">                </w:t>
      </w:r>
      <w:r>
        <w:rPr>
          <w:rFonts w:hint="eastAsia" w:ascii="宋体" w:hAnsi="宋体" w:eastAsia="宋体" w:cs="宋体"/>
          <w:sz w:val="24"/>
          <w:szCs w:val="24"/>
        </w:rPr>
        <w:t>乳化液</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液压系统工作压力：</w:t>
      </w:r>
      <w:r>
        <w:rPr>
          <w:rFonts w:ascii="宋体" w:hAnsi="宋体" w:eastAsia="宋体" w:cs="宋体"/>
          <w:sz w:val="24"/>
          <w:szCs w:val="24"/>
        </w:rPr>
        <w:t xml:space="preserve">    </w:t>
      </w:r>
      <w:r>
        <w:rPr>
          <w:rFonts w:hint="eastAsia" w:ascii="宋体" w:hAnsi="宋体" w:eastAsia="宋体" w:cs="宋体"/>
          <w:sz w:val="24"/>
          <w:szCs w:val="24"/>
        </w:rPr>
        <w:t>压下、弯辊、横移：</w:t>
      </w:r>
      <w:r>
        <w:rPr>
          <w:rFonts w:ascii="宋体" w:hAnsi="宋体" w:eastAsia="宋体" w:cs="宋体"/>
          <w:sz w:val="24"/>
          <w:szCs w:val="24"/>
        </w:rPr>
        <w:t>21 Mpa</w:t>
      </w:r>
    </w:p>
    <w:p>
      <w:pPr>
        <w:spacing w:line="360" w:lineRule="auto"/>
        <w:ind w:firstLine="3360" w:firstLineChars="1400"/>
        <w:rPr>
          <w:rFonts w:ascii="宋体" w:hAnsi="宋体" w:eastAsia="宋体" w:cs="宋体"/>
          <w:sz w:val="24"/>
          <w:szCs w:val="24"/>
        </w:rPr>
      </w:pPr>
      <w:r>
        <w:rPr>
          <w:rFonts w:hint="eastAsia" w:ascii="宋体" w:hAnsi="宋体" w:eastAsia="宋体" w:cs="宋体"/>
          <w:sz w:val="24"/>
          <w:szCs w:val="24"/>
        </w:rPr>
        <w:t>液压传动：</w:t>
      </w:r>
      <w:r>
        <w:rPr>
          <w:rFonts w:ascii="宋体" w:hAnsi="宋体" w:eastAsia="宋体" w:cs="宋体"/>
          <w:sz w:val="24"/>
          <w:szCs w:val="24"/>
        </w:rPr>
        <w:t>10Mpa</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工艺润滑流量：</w:t>
      </w:r>
      <w:r>
        <w:rPr>
          <w:rFonts w:ascii="宋体" w:hAnsi="宋体" w:eastAsia="宋体" w:cs="宋体"/>
          <w:sz w:val="24"/>
          <w:szCs w:val="24"/>
        </w:rPr>
        <w:t xml:space="preserve">        8000 L/min（实际约</w:t>
      </w:r>
      <w:r>
        <w:rPr>
          <w:rFonts w:hint="eastAsia" w:ascii="宋体" w:hAnsi="宋体" w:eastAsia="宋体" w:cs="宋体"/>
          <w:sz w:val="24"/>
          <w:szCs w:val="24"/>
        </w:rPr>
        <w:t>6000</w:t>
      </w:r>
      <w:r>
        <w:rPr>
          <w:rFonts w:ascii="宋体" w:hAnsi="宋体" w:eastAsia="宋体" w:cs="宋体"/>
          <w:sz w:val="24"/>
          <w:szCs w:val="24"/>
        </w:rPr>
        <w:t xml:space="preserve"> L/min）</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开卷机电机功率：</w:t>
      </w:r>
      <w:r>
        <w:rPr>
          <w:rFonts w:ascii="宋体" w:hAnsi="宋体" w:eastAsia="宋体" w:cs="宋体"/>
          <w:sz w:val="24"/>
          <w:szCs w:val="24"/>
        </w:rPr>
        <w:t xml:space="preserve">      AC 430Kw</w:t>
      </w:r>
    </w:p>
    <w:p>
      <w:pPr>
        <w:spacing w:line="360" w:lineRule="auto"/>
        <w:ind w:firstLine="720" w:firstLineChars="300"/>
        <w:rPr>
          <w:rFonts w:ascii="宋体" w:hAnsi="Times New Roman" w:eastAsia="宋体" w:cs="Times New Roman"/>
          <w:sz w:val="24"/>
          <w:szCs w:val="24"/>
        </w:rPr>
      </w:pPr>
      <w:r>
        <w:rPr>
          <w:rFonts w:hint="eastAsia" w:ascii="宋体" w:hAnsi="宋体" w:eastAsia="宋体" w:cs="宋体"/>
          <w:sz w:val="24"/>
          <w:szCs w:val="24"/>
        </w:rPr>
        <w:t>卷取机电机功率：</w:t>
      </w:r>
      <w:r>
        <w:rPr>
          <w:rFonts w:ascii="宋体" w:hAnsi="宋体" w:eastAsia="宋体" w:cs="宋体"/>
          <w:sz w:val="24"/>
          <w:szCs w:val="24"/>
        </w:rPr>
        <w:t xml:space="preserve">      AC 1900Kw</w:t>
      </w:r>
      <w:r>
        <w:rPr>
          <w:rFonts w:hint="eastAsia" w:ascii="宋体" w:hAnsi="宋体" w:eastAsia="宋体" w:cs="宋体"/>
          <w:sz w:val="24"/>
          <w:szCs w:val="24"/>
        </w:rPr>
        <w:t>（共两台）</w:t>
      </w:r>
    </w:p>
    <w:p>
      <w:pPr>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主轧机电机功率：</w:t>
      </w:r>
      <w:r>
        <w:rPr>
          <w:rFonts w:ascii="宋体" w:hAnsi="宋体" w:eastAsia="宋体" w:cs="宋体"/>
          <w:sz w:val="24"/>
          <w:szCs w:val="24"/>
        </w:rPr>
        <w:t xml:space="preserve">      AC 2800KW</w:t>
      </w:r>
      <w:r>
        <w:rPr>
          <w:rFonts w:hint="eastAsia" w:ascii="宋体" w:hAnsi="宋体" w:eastAsia="宋体" w:cs="宋体"/>
          <w:sz w:val="24"/>
          <w:szCs w:val="24"/>
        </w:rPr>
        <w:t>（共两台）</w:t>
      </w:r>
    </w:p>
    <w:p>
      <w:pPr>
        <w:spacing w:line="360" w:lineRule="auto"/>
        <w:rPr>
          <w:b/>
          <w:sz w:val="24"/>
          <w:szCs w:val="24"/>
        </w:rPr>
      </w:pPr>
      <w:r>
        <w:rPr>
          <w:rFonts w:hint="eastAsia"/>
          <w:b/>
          <w:sz w:val="24"/>
          <w:szCs w:val="24"/>
        </w:rPr>
        <w:t>4、现有电控系统</w:t>
      </w:r>
    </w:p>
    <w:p>
      <w:pPr>
        <w:spacing w:line="360" w:lineRule="auto"/>
        <w:ind w:firstLine="480" w:firstLineChars="200"/>
        <w:rPr>
          <w:sz w:val="24"/>
          <w:szCs w:val="24"/>
        </w:rPr>
      </w:pPr>
      <w:r>
        <w:rPr>
          <w:rFonts w:hint="eastAsia"/>
          <w:sz w:val="24"/>
          <w:szCs w:val="24"/>
        </w:rPr>
        <w:t>4.1测厚仪系统：一号轧机精锐达、二号轧机IMS.</w:t>
      </w:r>
    </w:p>
    <w:p>
      <w:pPr>
        <w:spacing w:line="360" w:lineRule="auto"/>
        <w:ind w:firstLine="480" w:firstLineChars="200"/>
        <w:rPr>
          <w:sz w:val="24"/>
          <w:szCs w:val="24"/>
        </w:rPr>
      </w:pPr>
      <w:r>
        <w:rPr>
          <w:rFonts w:hint="eastAsia"/>
          <w:sz w:val="24"/>
          <w:szCs w:val="24"/>
        </w:rPr>
        <w:t>4.2西门子S120传动系统，自动化系统如下图配置：</w:t>
      </w:r>
    </w:p>
    <w:p>
      <w:pPr>
        <w:spacing w:line="360" w:lineRule="auto"/>
        <w:ind w:firstLine="567" w:firstLineChars="270"/>
        <w:rPr>
          <w:sz w:val="24"/>
          <w:szCs w:val="24"/>
        </w:rPr>
      </w:pPr>
      <w:r>
        <w:drawing>
          <wp:anchor distT="0" distB="0" distL="114300" distR="114300" simplePos="0" relativeHeight="251659264" behindDoc="0" locked="0" layoutInCell="1" allowOverlap="1">
            <wp:simplePos x="0" y="0"/>
            <wp:positionH relativeFrom="column">
              <wp:posOffset>3535680</wp:posOffset>
            </wp:positionH>
            <wp:positionV relativeFrom="paragraph">
              <wp:posOffset>1408430</wp:posOffset>
            </wp:positionV>
            <wp:extent cx="1772285" cy="2276475"/>
            <wp:effectExtent l="0" t="0" r="9525" b="18415"/>
            <wp:wrapNone/>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rot="5400000">
                      <a:off x="0" y="0"/>
                      <a:ext cx="1772285" cy="2276475"/>
                    </a:xfrm>
                    <a:prstGeom prst="rect">
                      <a:avLst/>
                    </a:prstGeom>
                    <a:noFill/>
                    <a:ln>
                      <a:noFill/>
                    </a:ln>
                  </pic:spPr>
                </pic:pic>
              </a:graphicData>
            </a:graphic>
          </wp:anchor>
        </w:drawing>
      </w:r>
      <w:r>
        <w:drawing>
          <wp:inline distT="0" distB="0" distL="114300" distR="114300">
            <wp:extent cx="3473450" cy="2360930"/>
            <wp:effectExtent l="0" t="0" r="1270" b="1270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5"/>
                    <a:stretch>
                      <a:fillRect/>
                    </a:stretch>
                  </pic:blipFill>
                  <pic:spPr>
                    <a:xfrm rot="5400000">
                      <a:off x="0" y="0"/>
                      <a:ext cx="3481392" cy="2366710"/>
                    </a:xfrm>
                    <a:prstGeom prst="rect">
                      <a:avLst/>
                    </a:prstGeom>
                    <a:noFill/>
                    <a:ln>
                      <a:noFill/>
                    </a:ln>
                  </pic:spPr>
                </pic:pic>
              </a:graphicData>
            </a:graphic>
          </wp:inline>
        </w:drawing>
      </w:r>
    </w:p>
    <w:p>
      <w:pPr>
        <w:spacing w:line="360" w:lineRule="auto"/>
        <w:ind w:firstLine="1201" w:firstLineChars="500"/>
        <w:rPr>
          <w:sz w:val="24"/>
          <w:szCs w:val="24"/>
        </w:rPr>
      </w:pPr>
      <w:r>
        <w:rPr>
          <w:rFonts w:hint="eastAsia" w:cs="Arial" w:asciiTheme="minorEastAsia" w:hAnsiTheme="minorEastAsia"/>
          <w:b/>
          <w:bCs/>
          <w:position w:val="-1"/>
          <w:sz w:val="24"/>
        </w:rPr>
        <w:t>MAFU主控系统PLC框架                  SEQ辅助系统PLC框架</w:t>
      </w:r>
    </w:p>
    <w:p>
      <w:pPr>
        <w:spacing w:line="360" w:lineRule="auto"/>
        <w:ind w:firstLine="720" w:firstLineChars="300"/>
        <w:rPr>
          <w:rFonts w:hint="eastAsia" w:ascii="宋体" w:hAnsi="Times New Roman" w:eastAsia="宋体" w:cs="Times New Roman"/>
          <w:sz w:val="24"/>
          <w:szCs w:val="24"/>
        </w:rPr>
      </w:pPr>
    </w:p>
    <w:p>
      <w:pPr>
        <w:spacing w:line="360" w:lineRule="auto"/>
        <w:rPr>
          <w:b/>
          <w:sz w:val="24"/>
          <w:szCs w:val="24"/>
        </w:rPr>
      </w:pPr>
      <w:r>
        <w:rPr>
          <w:rFonts w:hint="eastAsia"/>
          <w:b/>
          <w:sz w:val="24"/>
          <w:szCs w:val="24"/>
        </w:rPr>
        <w:t>二</w:t>
      </w:r>
      <w:r>
        <w:rPr>
          <w:b/>
          <w:sz w:val="24"/>
          <w:szCs w:val="24"/>
        </w:rPr>
        <w:t>、改造基本要求及目标</w:t>
      </w:r>
    </w:p>
    <w:p>
      <w:pPr>
        <w:spacing w:line="360" w:lineRule="auto"/>
        <w:ind w:firstLine="480" w:firstLineChars="200"/>
        <w:rPr>
          <w:b/>
          <w:sz w:val="24"/>
          <w:szCs w:val="24"/>
        </w:rPr>
      </w:pPr>
      <w:r>
        <w:rPr>
          <w:rFonts w:hint="eastAsia"/>
          <w:b/>
          <w:sz w:val="24"/>
          <w:szCs w:val="24"/>
        </w:rPr>
        <w:t>1、硬件改造要求：</w:t>
      </w:r>
    </w:p>
    <w:p>
      <w:pPr>
        <w:spacing w:line="360" w:lineRule="auto"/>
        <w:ind w:firstLine="480" w:firstLineChars="200"/>
        <w:rPr>
          <w:sz w:val="24"/>
          <w:szCs w:val="24"/>
        </w:rPr>
      </w:pPr>
      <w:r>
        <w:rPr>
          <w:rFonts w:hint="eastAsia"/>
          <w:sz w:val="24"/>
          <w:szCs w:val="24"/>
        </w:rPr>
        <w:t>1.1针对现有生产线的问题和需要升级改造的范围，提供计算机硬件产品，以解决计算机老化和停产的影响，可以修改PLC系统配置以保证系统应用。</w:t>
      </w:r>
    </w:p>
    <w:p>
      <w:pPr>
        <w:spacing w:line="360" w:lineRule="auto"/>
        <w:ind w:firstLine="480" w:firstLineChars="200"/>
        <w:rPr>
          <w:sz w:val="24"/>
          <w:szCs w:val="24"/>
        </w:rPr>
      </w:pPr>
      <w:r>
        <w:rPr>
          <w:rFonts w:hint="eastAsia"/>
          <w:sz w:val="24"/>
          <w:szCs w:val="24"/>
        </w:rPr>
        <w:t>1.2补齐相应的PDA系统（可以使用破解版）。</w:t>
      </w:r>
    </w:p>
    <w:p>
      <w:pPr>
        <w:autoSpaceDE w:val="0"/>
        <w:autoSpaceDN w:val="0"/>
        <w:spacing w:line="360" w:lineRule="auto"/>
        <w:ind w:right="-23" w:firstLine="480" w:firstLineChars="200"/>
        <w:jc w:val="left"/>
        <w:rPr>
          <w:sz w:val="24"/>
          <w:szCs w:val="24"/>
        </w:rPr>
      </w:pPr>
      <w:r>
        <w:rPr>
          <w:rFonts w:hint="eastAsia"/>
          <w:sz w:val="24"/>
          <w:szCs w:val="24"/>
        </w:rPr>
        <w:t>1.3 P</w:t>
      </w:r>
      <w:r>
        <w:rPr>
          <w:sz w:val="24"/>
          <w:szCs w:val="24"/>
        </w:rPr>
        <w:t>LC</w:t>
      </w:r>
      <w:r>
        <w:rPr>
          <w:rFonts w:hint="eastAsia"/>
          <w:sz w:val="24"/>
          <w:szCs w:val="24"/>
        </w:rPr>
        <w:t>系统运行率试验为确认在系统负载综合测试运行过程中新增硬件的可靠性，应进行运行率试验，除特殊情况外。</w:t>
      </w:r>
    </w:p>
    <w:p>
      <w:pPr>
        <w:autoSpaceDE w:val="0"/>
        <w:autoSpaceDN w:val="0"/>
        <w:spacing w:line="360" w:lineRule="auto"/>
        <w:ind w:left="238" w:right="-23" w:firstLine="482"/>
        <w:jc w:val="left"/>
        <w:rPr>
          <w:sz w:val="24"/>
          <w:szCs w:val="24"/>
        </w:rPr>
      </w:pPr>
      <w:r>
        <w:rPr>
          <w:rFonts w:hint="eastAsia"/>
          <w:sz w:val="24"/>
          <w:szCs w:val="24"/>
        </w:rPr>
        <w:t>利用率测试在定义的时间段内连续进行，试验设备的范围：</w:t>
      </w:r>
    </w:p>
    <w:p>
      <w:pPr>
        <w:autoSpaceDE w:val="0"/>
        <w:autoSpaceDN w:val="0"/>
        <w:adjustRightInd w:val="0"/>
        <w:spacing w:line="360" w:lineRule="auto"/>
        <w:ind w:left="720" w:right="-23"/>
        <w:jc w:val="left"/>
        <w:textAlignment w:val="baseline"/>
        <w:rPr>
          <w:sz w:val="24"/>
          <w:szCs w:val="24"/>
        </w:rPr>
      </w:pPr>
      <w:r>
        <w:rPr>
          <w:sz w:val="24"/>
          <w:szCs w:val="24"/>
        </w:rPr>
        <w:t>一级基础自动化系统的利用率应不小于 99.8%</w:t>
      </w:r>
    </w:p>
    <w:p>
      <w:pPr>
        <w:autoSpaceDE w:val="0"/>
        <w:autoSpaceDN w:val="0"/>
        <w:adjustRightInd w:val="0"/>
        <w:spacing w:line="360" w:lineRule="auto"/>
        <w:ind w:left="720" w:right="-23"/>
        <w:jc w:val="left"/>
        <w:textAlignment w:val="baseline"/>
        <w:rPr>
          <w:sz w:val="24"/>
          <w:szCs w:val="24"/>
        </w:rPr>
      </w:pPr>
      <w:r>
        <w:rPr>
          <w:sz w:val="24"/>
          <w:szCs w:val="24"/>
        </w:rPr>
        <w:t>HMI 系统和工业以太网的利用率应不小于 99.8%</w:t>
      </w:r>
    </w:p>
    <w:p>
      <w:pPr>
        <w:autoSpaceDE w:val="0"/>
        <w:autoSpaceDN w:val="0"/>
        <w:adjustRightInd w:val="0"/>
        <w:spacing w:line="360" w:lineRule="auto"/>
        <w:ind w:left="720" w:right="-23"/>
        <w:jc w:val="left"/>
        <w:textAlignment w:val="baseline"/>
        <w:rPr>
          <w:sz w:val="24"/>
          <w:szCs w:val="24"/>
        </w:rPr>
      </w:pPr>
      <w:r>
        <w:rPr>
          <w:sz w:val="24"/>
          <w:szCs w:val="24"/>
        </w:rPr>
        <w:t>传动系统的利用率应不小于 99.5％</w:t>
      </w:r>
    </w:p>
    <w:p>
      <w:pPr>
        <w:spacing w:line="360" w:lineRule="auto"/>
        <w:rPr>
          <w:b/>
          <w:sz w:val="24"/>
          <w:szCs w:val="24"/>
        </w:rPr>
      </w:pPr>
      <w:r>
        <w:rPr>
          <w:rFonts w:hint="eastAsia"/>
          <w:b/>
          <w:sz w:val="24"/>
          <w:szCs w:val="24"/>
        </w:rPr>
        <w:t>2、保证验收值：</w:t>
      </w:r>
    </w:p>
    <w:p>
      <w:pPr>
        <w:spacing w:line="360" w:lineRule="auto"/>
        <w:rPr>
          <w:b/>
          <w:sz w:val="24"/>
          <w:szCs w:val="24"/>
        </w:rPr>
      </w:pPr>
    </w:p>
    <w:tbl>
      <w:tblPr>
        <w:tblStyle w:val="5"/>
        <w:tblW w:w="6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99"/>
        <w:gridCol w:w="1687"/>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739" w:type="dxa"/>
            <w:tcBorders>
              <w:top w:val="nil"/>
              <w:left w:val="nil"/>
              <w:bottom w:val="nil"/>
              <w:right w:val="single" w:color="auto" w:sz="8" w:space="0"/>
              <w:insideV w:val="single" w:sz="8" w:space="0"/>
            </w:tcBorders>
            <w:vAlign w:val="center"/>
          </w:tcPr>
          <w:p>
            <w:pPr>
              <w:widowControl/>
              <w:spacing w:before="0" w:beforeLines="0" w:beforeAutospacing="0" w:after="0" w:afterLines="0" w:afterAutospacing="0" w:line="240" w:lineRule="auto"/>
              <w:ind w:left="240"/>
              <w:rPr>
                <w:rFonts w:hint="default" w:ascii="等线" w:hAnsi="等线" w:eastAsia="等线" w:cs="宋体"/>
                <w:b/>
                <w:bCs/>
                <w:color w:val="000000"/>
                <w:kern w:val="0"/>
                <w:sz w:val="18"/>
                <w:szCs w:val="18"/>
              </w:rPr>
            </w:pPr>
            <w:r>
              <w:rPr>
                <w:rFonts w:hint="eastAsia" w:ascii="等线" w:hAnsi="等线" w:eastAsia="等线" w:cs="宋体"/>
                <w:b/>
                <w:bCs/>
                <w:color w:val="000000"/>
                <w:kern w:val="0"/>
                <w:sz w:val="18"/>
                <w:szCs w:val="18"/>
              </w:rPr>
              <w:t>成品厚度(mm)</w:t>
            </w:r>
          </w:p>
        </w:tc>
        <w:tc>
          <w:tcPr>
            <w:tcW w:w="1499" w:type="dxa"/>
            <w:tcBorders>
              <w:top w:val="nil"/>
              <w:left w:val="nil"/>
              <w:bottom w:val="nil"/>
              <w:right w:val="single" w:color="auto" w:sz="8" w:space="0"/>
              <w:insideV w:val="single" w:sz="8" w:space="0"/>
            </w:tcBorders>
            <w:vAlign w:val="center"/>
          </w:tcPr>
          <w:p>
            <w:pPr>
              <w:widowControl/>
              <w:spacing w:before="0" w:beforeLines="0" w:beforeAutospacing="0" w:after="0" w:afterLines="0" w:afterAutospacing="0" w:line="240" w:lineRule="auto"/>
              <w:ind w:left="86" w:leftChars="41"/>
              <w:rPr>
                <w:rFonts w:hint="default" w:ascii="等线" w:hAnsi="等线" w:eastAsia="等线" w:cs="宋体"/>
                <w:b/>
                <w:bCs/>
                <w:color w:val="000000"/>
                <w:kern w:val="0"/>
                <w:sz w:val="18"/>
                <w:szCs w:val="18"/>
              </w:rPr>
            </w:pPr>
            <w:r>
              <w:rPr>
                <w:rFonts w:hint="eastAsia" w:ascii="等线" w:hAnsi="等线" w:eastAsia="等线" w:cs="宋体"/>
                <w:b/>
                <w:bCs/>
                <w:color w:val="000000"/>
                <w:kern w:val="0"/>
                <w:sz w:val="18"/>
                <w:szCs w:val="18"/>
              </w:rPr>
              <w:t>稳速运行段带材厚度公差值</w:t>
            </w:r>
          </w:p>
        </w:tc>
        <w:tc>
          <w:tcPr>
            <w:tcW w:w="1687" w:type="dxa"/>
            <w:tcBorders>
              <w:top w:val="nil"/>
              <w:left w:val="nil"/>
              <w:bottom w:val="nil"/>
              <w:right w:val="single" w:color="auto" w:sz="8" w:space="0"/>
              <w:insideV w:val="single" w:sz="8" w:space="0"/>
            </w:tcBorders>
            <w:vAlign w:val="center"/>
          </w:tcPr>
          <w:p>
            <w:pPr>
              <w:widowControl/>
              <w:spacing w:before="0" w:beforeLines="0" w:beforeAutospacing="0" w:after="0" w:afterLines="0" w:afterAutospacing="0" w:line="240" w:lineRule="auto"/>
              <w:ind w:left="86" w:leftChars="41"/>
              <w:rPr>
                <w:rFonts w:hint="default" w:ascii="等线" w:hAnsi="等线" w:eastAsia="等线" w:cs="宋体"/>
                <w:b/>
                <w:bCs/>
                <w:color w:val="000000"/>
                <w:kern w:val="0"/>
                <w:sz w:val="18"/>
                <w:szCs w:val="18"/>
              </w:rPr>
            </w:pPr>
            <w:r>
              <w:rPr>
                <w:rFonts w:hint="eastAsia" w:ascii="等线" w:hAnsi="等线" w:eastAsia="等线" w:cs="宋体"/>
                <w:b/>
                <w:bCs/>
                <w:color w:val="000000"/>
                <w:kern w:val="0"/>
                <w:sz w:val="18"/>
                <w:szCs w:val="18"/>
              </w:rPr>
              <w:t>升降速过渡段带材厚度公差值</w:t>
            </w:r>
          </w:p>
        </w:tc>
        <w:tc>
          <w:tcPr>
            <w:tcW w:w="1983" w:type="dxa"/>
            <w:tcBorders>
              <w:top w:val="nil"/>
              <w:left w:val="nil"/>
              <w:bottom w:val="nil"/>
              <w:right w:val="nil"/>
              <w:insideV w:val="single" w:sz="8" w:space="0"/>
            </w:tcBorders>
            <w:vAlign w:val="center"/>
          </w:tcPr>
          <w:p>
            <w:pPr>
              <w:widowControl/>
              <w:spacing w:before="0" w:beforeLines="0" w:beforeAutospacing="0" w:after="0" w:afterLines="0" w:afterAutospacing="0" w:line="240" w:lineRule="auto"/>
              <w:rPr>
                <w:rFonts w:hint="default" w:ascii="等线" w:hAnsi="等线" w:eastAsia="等线" w:cs="宋体"/>
                <w:b/>
                <w:bCs/>
                <w:color w:val="000000"/>
                <w:kern w:val="0"/>
                <w:sz w:val="18"/>
                <w:szCs w:val="18"/>
              </w:rPr>
            </w:pPr>
            <w:r>
              <w:rPr>
                <w:rFonts w:hint="eastAsia" w:ascii="等线" w:hAnsi="等线" w:eastAsia="等线" w:cs="宋体"/>
                <w:b/>
                <w:bCs/>
                <w:kern w:val="0"/>
                <w:sz w:val="18"/>
                <w:szCs w:val="18"/>
              </w:rPr>
              <w:t>头尾</w:t>
            </w:r>
            <w:r>
              <w:rPr>
                <w:rFonts w:hint="eastAsia" w:ascii="等线" w:hAnsi="等线" w:eastAsia="等线" w:cs="宋体"/>
                <w:b/>
                <w:bCs/>
                <w:color w:val="000000"/>
                <w:kern w:val="0"/>
                <w:sz w:val="18"/>
                <w:szCs w:val="18"/>
              </w:rPr>
              <w:t>超差长度之和（超过允许厚度公差）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739" w:type="dxa"/>
            <w:shd w:val="clear" w:color="auto" w:fill="FFFFFF" w:themeFill="background1"/>
          </w:tcPr>
          <w:p>
            <w:pPr>
              <w:widowControl/>
              <w:jc w:val="center"/>
              <w:rPr>
                <w:rFonts w:hint="default" w:ascii="等线" w:hAnsi="等线" w:eastAsia="等线" w:cs="宋体"/>
                <w:b w:val="0"/>
                <w:bCs w:val="0"/>
                <w:color w:val="000000"/>
                <w:kern w:val="0"/>
                <w:sz w:val="24"/>
                <w:szCs w:val="24"/>
              </w:rPr>
            </w:pPr>
            <w:r>
              <w:rPr>
                <w:rFonts w:hint="eastAsia" w:ascii="等线" w:hAnsi="等线" w:eastAsia="等线" w:cs="宋体"/>
                <w:b/>
                <w:bCs/>
                <w:color w:val="000000"/>
                <w:kern w:val="0"/>
                <w:sz w:val="24"/>
                <w:szCs w:val="24"/>
              </w:rPr>
              <w:t>0.1≤ h &lt; 0.3</w:t>
            </w:r>
          </w:p>
        </w:tc>
        <w:tc>
          <w:tcPr>
            <w:tcW w:w="1499" w:type="dxa"/>
            <w:shd w:val="clear" w:color="auto" w:fill="FFFFFF" w:themeFill="background1"/>
          </w:tcPr>
          <w:p>
            <w:pPr>
              <w:widowControl/>
              <w:jc w:val="center"/>
              <w:rPr>
                <w:rFonts w:ascii="等线" w:hAnsi="等线" w:eastAsia="等线" w:cs="宋体"/>
                <w:color w:val="000000"/>
                <w:kern w:val="0"/>
                <w:sz w:val="24"/>
                <w:szCs w:val="24"/>
              </w:rPr>
            </w:pPr>
            <w:r>
              <w:rPr>
                <w:rFonts w:ascii="等线" w:hAnsi="等线" w:eastAsia="等线" w:cs="宋体"/>
                <w:color w:val="000000"/>
                <w:kern w:val="0"/>
                <w:sz w:val="24"/>
                <w:szCs w:val="24"/>
              </w:rPr>
              <w:t>± 3μm</w:t>
            </w:r>
          </w:p>
        </w:tc>
        <w:tc>
          <w:tcPr>
            <w:tcW w:w="1687" w:type="dxa"/>
            <w:shd w:val="clear" w:color="auto" w:fill="FFFFFF" w:themeFill="background1"/>
          </w:tcPr>
          <w:p>
            <w:pPr>
              <w:widowControl/>
              <w:jc w:val="center"/>
              <w:rPr>
                <w:rFonts w:ascii="等线" w:hAnsi="等线" w:eastAsia="等线" w:cs="宋体"/>
                <w:color w:val="000000"/>
                <w:kern w:val="0"/>
                <w:sz w:val="24"/>
                <w:szCs w:val="24"/>
              </w:rPr>
            </w:pPr>
            <w:r>
              <w:rPr>
                <w:rFonts w:ascii="等线" w:hAnsi="等线" w:eastAsia="等线" w:cs="宋体"/>
                <w:color w:val="000000"/>
                <w:kern w:val="0"/>
                <w:sz w:val="24"/>
                <w:szCs w:val="24"/>
              </w:rPr>
              <w:t>± 5μm</w:t>
            </w:r>
          </w:p>
        </w:tc>
        <w:tc>
          <w:tcPr>
            <w:tcW w:w="1983" w:type="dxa"/>
            <w:shd w:val="clear" w:color="auto" w:fill="FFFFFF" w:themeFill="background1"/>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≤35</w:t>
            </w:r>
            <w:r>
              <w:rPr>
                <w:rFonts w:ascii="等线" w:hAnsi="等线" w:eastAsia="等线" w:cs="宋体"/>
                <w:color w:val="000000"/>
                <w:kern w:val="0"/>
                <w:sz w:val="24"/>
                <w:szCs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39" w:type="dxa"/>
            <w:shd w:val="clear" w:color="auto" w:fill="FFFFFF" w:themeFill="background1"/>
          </w:tcPr>
          <w:p>
            <w:pPr>
              <w:widowControl/>
              <w:jc w:val="center"/>
              <w:rPr>
                <w:rFonts w:hint="default" w:ascii="等线" w:hAnsi="等线" w:eastAsia="等线" w:cs="宋体"/>
                <w:b/>
                <w:bCs/>
                <w:color w:val="000000"/>
                <w:kern w:val="0"/>
                <w:sz w:val="24"/>
                <w:szCs w:val="24"/>
              </w:rPr>
            </w:pPr>
            <w:r>
              <w:rPr>
                <w:rFonts w:hint="eastAsia" w:ascii="等线" w:hAnsi="等线" w:eastAsia="等线" w:cs="宋体"/>
                <w:b/>
                <w:bCs/>
                <w:color w:val="000000"/>
                <w:kern w:val="0"/>
                <w:sz w:val="24"/>
                <w:szCs w:val="24"/>
              </w:rPr>
              <w:t>0.3≤ h &lt; 0.5</w:t>
            </w:r>
          </w:p>
        </w:tc>
        <w:tc>
          <w:tcPr>
            <w:tcW w:w="1499" w:type="dxa"/>
            <w:shd w:val="clear" w:color="auto" w:fill="FFFFFF" w:themeFill="background1"/>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5</w:t>
            </w:r>
            <w:r>
              <w:rPr>
                <w:rFonts w:ascii="等线" w:hAnsi="等线" w:eastAsia="等线" w:cs="宋体"/>
                <w:color w:val="000000"/>
                <w:kern w:val="0"/>
                <w:sz w:val="24"/>
                <w:szCs w:val="24"/>
              </w:rPr>
              <w:t>μm</w:t>
            </w:r>
          </w:p>
        </w:tc>
        <w:tc>
          <w:tcPr>
            <w:tcW w:w="1687" w:type="dxa"/>
            <w:shd w:val="clear" w:color="auto" w:fill="FFFFFF" w:themeFill="background1"/>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8</w:t>
            </w:r>
            <w:r>
              <w:rPr>
                <w:rFonts w:ascii="等线" w:hAnsi="等线" w:eastAsia="等线" w:cs="宋体"/>
                <w:color w:val="000000"/>
                <w:kern w:val="0"/>
                <w:sz w:val="24"/>
                <w:szCs w:val="24"/>
              </w:rPr>
              <w:t>μm</w:t>
            </w:r>
          </w:p>
        </w:tc>
        <w:tc>
          <w:tcPr>
            <w:tcW w:w="1983" w:type="dxa"/>
            <w:shd w:val="clear" w:color="auto" w:fill="FFFFFF" w:themeFill="background1"/>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≤30m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39" w:type="dxa"/>
            <w:shd w:val="clear" w:color="auto" w:fill="auto"/>
          </w:tcPr>
          <w:p>
            <w:pPr>
              <w:widowControl/>
              <w:jc w:val="center"/>
              <w:rPr>
                <w:rFonts w:hint="default" w:ascii="等线" w:hAnsi="等线" w:eastAsia="等线" w:cs="宋体"/>
                <w:b/>
                <w:bCs/>
                <w:color w:val="000000"/>
                <w:kern w:val="0"/>
                <w:sz w:val="24"/>
                <w:szCs w:val="24"/>
              </w:rPr>
            </w:pPr>
            <w:r>
              <w:rPr>
                <w:rFonts w:hint="eastAsia" w:ascii="等线" w:hAnsi="等线" w:eastAsia="等线" w:cs="宋体"/>
                <w:b/>
                <w:bCs/>
                <w:color w:val="000000"/>
                <w:kern w:val="0"/>
                <w:sz w:val="24"/>
                <w:szCs w:val="24"/>
              </w:rPr>
              <w:t>0.5 ≤ h &lt; 1.2</w:t>
            </w:r>
          </w:p>
        </w:tc>
        <w:tc>
          <w:tcPr>
            <w:tcW w:w="1499"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0.9%</w:t>
            </w:r>
          </w:p>
        </w:tc>
        <w:tc>
          <w:tcPr>
            <w:tcW w:w="1687"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1.</w:t>
            </w:r>
            <w:r>
              <w:rPr>
                <w:rFonts w:ascii="等线" w:hAnsi="等线" w:eastAsia="等线" w:cs="宋体"/>
                <w:color w:val="000000"/>
                <w:kern w:val="0"/>
                <w:sz w:val="24"/>
                <w:szCs w:val="24"/>
              </w:rPr>
              <w:t>5</w:t>
            </w:r>
            <w:r>
              <w:rPr>
                <w:rFonts w:hint="eastAsia" w:ascii="等线" w:hAnsi="等线" w:eastAsia="等线" w:cs="宋体"/>
                <w:color w:val="000000"/>
                <w:kern w:val="0"/>
                <w:sz w:val="24"/>
                <w:szCs w:val="24"/>
              </w:rPr>
              <w:t>%</w:t>
            </w:r>
          </w:p>
        </w:tc>
        <w:tc>
          <w:tcPr>
            <w:tcW w:w="1983"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39" w:type="dxa"/>
            <w:shd w:val="clear" w:color="auto" w:fill="auto"/>
          </w:tcPr>
          <w:p>
            <w:pPr>
              <w:widowControl/>
              <w:jc w:val="center"/>
              <w:rPr>
                <w:rFonts w:hint="default" w:ascii="等线" w:hAnsi="等线" w:eastAsia="等线" w:cs="宋体"/>
                <w:b/>
                <w:bCs/>
                <w:color w:val="000000"/>
                <w:kern w:val="0"/>
                <w:sz w:val="24"/>
                <w:szCs w:val="24"/>
              </w:rPr>
            </w:pPr>
            <w:r>
              <w:rPr>
                <w:rFonts w:hint="default" w:ascii="等线" w:hAnsi="等线" w:eastAsia="等线" w:cs="宋体"/>
                <w:b/>
                <w:bCs/>
                <w:color w:val="000000"/>
                <w:kern w:val="0"/>
                <w:sz w:val="24"/>
                <w:szCs w:val="24"/>
              </w:rPr>
              <w:t>1.2</w:t>
            </w:r>
            <w:r>
              <w:rPr>
                <w:rFonts w:hint="eastAsia" w:ascii="等线" w:hAnsi="等线" w:eastAsia="等线" w:cs="宋体"/>
                <w:b/>
                <w:bCs/>
                <w:color w:val="000000"/>
                <w:kern w:val="0"/>
                <w:sz w:val="24"/>
                <w:szCs w:val="24"/>
              </w:rPr>
              <w:t xml:space="preserve"> ≤ h &lt; </w:t>
            </w:r>
            <w:r>
              <w:rPr>
                <w:rFonts w:hint="default" w:ascii="等线" w:hAnsi="等线" w:eastAsia="等线" w:cs="宋体"/>
                <w:b/>
                <w:bCs/>
                <w:color w:val="000000"/>
                <w:kern w:val="0"/>
                <w:sz w:val="24"/>
                <w:szCs w:val="24"/>
              </w:rPr>
              <w:t>2.0</w:t>
            </w:r>
          </w:p>
        </w:tc>
        <w:tc>
          <w:tcPr>
            <w:tcW w:w="1499"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xml:space="preserve">± </w:t>
            </w:r>
            <w:r>
              <w:rPr>
                <w:rFonts w:ascii="等线" w:hAnsi="等线" w:eastAsia="等线" w:cs="宋体"/>
                <w:color w:val="000000"/>
                <w:kern w:val="0"/>
                <w:sz w:val="24"/>
                <w:szCs w:val="24"/>
              </w:rPr>
              <w:t>0.8</w:t>
            </w:r>
            <w:r>
              <w:rPr>
                <w:rFonts w:hint="eastAsia" w:ascii="等线" w:hAnsi="等线" w:eastAsia="等线" w:cs="宋体"/>
                <w:color w:val="000000"/>
                <w:kern w:val="0"/>
                <w:sz w:val="24"/>
                <w:szCs w:val="24"/>
              </w:rPr>
              <w:t>%</w:t>
            </w:r>
          </w:p>
        </w:tc>
        <w:tc>
          <w:tcPr>
            <w:tcW w:w="1687"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 1.4%</w:t>
            </w:r>
          </w:p>
        </w:tc>
        <w:tc>
          <w:tcPr>
            <w:tcW w:w="1983" w:type="dxa"/>
            <w:shd w:val="clear" w:color="auto" w:fill="auto"/>
          </w:tcPr>
          <w:p>
            <w:pPr>
              <w:widowControl/>
              <w:jc w:val="center"/>
              <w:rPr>
                <w:rFonts w:ascii="等线" w:hAnsi="等线" w:eastAsia="等线" w:cs="宋体"/>
                <w:color w:val="000000"/>
                <w:kern w:val="0"/>
                <w:sz w:val="24"/>
                <w:szCs w:val="24"/>
              </w:rPr>
            </w:pPr>
            <w:r>
              <w:rPr>
                <w:rFonts w:hint="eastAsia" w:ascii="等线" w:hAnsi="等线" w:eastAsia="等线" w:cs="宋体"/>
                <w:color w:val="000000"/>
                <w:kern w:val="0"/>
                <w:sz w:val="24"/>
                <w:szCs w:val="24"/>
              </w:rPr>
              <w:t>≤15m</w:t>
            </w:r>
          </w:p>
        </w:tc>
      </w:tr>
    </w:tbl>
    <w:p>
      <w:pPr>
        <w:autoSpaceDE w:val="0"/>
        <w:autoSpaceDN w:val="0"/>
        <w:spacing w:line="360" w:lineRule="auto"/>
        <w:ind w:left="238" w:right="-23" w:firstLine="482"/>
        <w:jc w:val="left"/>
        <w:rPr>
          <w:rFonts w:ascii="等线" w:hAnsi="等线" w:eastAsia="等线"/>
          <w:sz w:val="24"/>
          <w:szCs w:val="24"/>
        </w:rPr>
      </w:pPr>
      <w:r>
        <w:rPr>
          <w:rFonts w:hint="eastAsia" w:ascii="等线" w:hAnsi="等线" w:eastAsia="等线"/>
          <w:sz w:val="24"/>
          <w:szCs w:val="24"/>
        </w:rPr>
        <w:t>自动停车精度</w:t>
      </w:r>
      <w:r>
        <w:rPr>
          <w:rFonts w:ascii="等线" w:hAnsi="等线" w:eastAsia="等线"/>
          <w:sz w:val="24"/>
          <w:szCs w:val="24"/>
        </w:rPr>
        <w:t>≤</w:t>
      </w:r>
      <w:r>
        <w:rPr>
          <w:rFonts w:hint="eastAsia" w:ascii="等线" w:hAnsi="等线" w:eastAsia="等线"/>
          <w:sz w:val="24"/>
          <w:szCs w:val="24"/>
        </w:rPr>
        <w:t>5</w:t>
      </w:r>
      <w:r>
        <w:rPr>
          <w:rFonts w:ascii="等线" w:hAnsi="等线" w:eastAsia="等线"/>
          <w:sz w:val="24"/>
          <w:szCs w:val="24"/>
        </w:rPr>
        <w:t>0 mm（两道次可逆</w:t>
      </w:r>
      <w:r>
        <w:rPr>
          <w:rFonts w:hint="eastAsia" w:ascii="等线" w:hAnsi="等线" w:eastAsia="等线"/>
          <w:sz w:val="24"/>
          <w:szCs w:val="24"/>
        </w:rPr>
        <w:t>轧制后在带钢表面留下的痕迹的距离）。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1NWNlYWNkMTk4MGU5YzdlMWM2ZWJiYTZhYjMxYmQifQ=="/>
  </w:docVars>
  <w:rsids>
    <w:rsidRoot w:val="00957193"/>
    <w:rsid w:val="00312638"/>
    <w:rsid w:val="003B217C"/>
    <w:rsid w:val="004558B9"/>
    <w:rsid w:val="005637D7"/>
    <w:rsid w:val="00681285"/>
    <w:rsid w:val="00804E2C"/>
    <w:rsid w:val="00957193"/>
    <w:rsid w:val="00A924B4"/>
    <w:rsid w:val="00AB3459"/>
    <w:rsid w:val="00D434B3"/>
    <w:rsid w:val="00DE1BE7"/>
    <w:rsid w:val="00EA3F12"/>
    <w:rsid w:val="00EE513B"/>
    <w:rsid w:val="00F1703A"/>
    <w:rsid w:val="00F36538"/>
    <w:rsid w:val="06D65AED"/>
    <w:rsid w:val="170811FD"/>
    <w:rsid w:val="2A602AE0"/>
    <w:rsid w:val="3A0B4AF4"/>
    <w:rsid w:val="490948F4"/>
    <w:rsid w:val="51CA47E1"/>
    <w:rsid w:val="692529CD"/>
    <w:rsid w:val="70BF3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qFormat="1"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tabs>
        <w:tab w:val="center" w:pos="4153"/>
        <w:tab w:val="right" w:pos="8306"/>
      </w:tabs>
      <w:snapToGrid w:val="0"/>
      <w:jc w:val="center"/>
    </w:pPr>
    <w:rPr>
      <w:sz w:val="18"/>
      <w:szCs w:val="18"/>
    </w:rPr>
  </w:style>
  <w:style w:type="table" w:styleId="5">
    <w:name w:val="Light Grid Accent 1"/>
    <w:basedOn w:val="4"/>
    <w:unhideWhenUsed/>
    <w:qFormat/>
    <w:uiPriority w:val="62"/>
    <w:rPr>
      <w:rFonts w:ascii="Times New Roman" w:hAnsi="Times New Roman" w:eastAsia="宋体" w:cs="Times New Roman"/>
      <w:kern w:val="0"/>
      <w:sz w:val="20"/>
      <w:szCs w:val="20"/>
    </w:rPr>
    <w:tblPr>
      <w:tblBorders>
        <w:top w:val="single" w:color="4472C4" w:themeColor="accent1" w:sz="8" w:space="0"/>
        <w:left w:val="single" w:color="4472C4" w:themeColor="accent1" w:sz="8" w:space="0"/>
        <w:bottom w:val="single" w:color="4472C4" w:themeColor="accent1" w:sz="8" w:space="0"/>
        <w:right w:val="single" w:color="4472C4" w:themeColor="accent1" w:sz="8" w:space="0"/>
        <w:insideH w:val="single" w:color="4472C4" w:themeColor="accent1" w:sz="8" w:space="0"/>
        <w:insideV w:val="single" w:color="4472C4" w:themeColor="accent1" w:sz="8" w:space="0"/>
      </w:tblBorders>
    </w:tblPr>
    <w:tblStylePr w:type="firstRow">
      <w:pPr>
        <w:spacing w:before="0" w:beforeLines="0" w:beforeAutospacing="0" w:after="0" w:afterLines="0" w:afterAutospacing="0" w:line="240" w:lineRule="auto"/>
      </w:pPr>
      <w:rPr>
        <w:rFonts w:hint="default" w:asciiTheme="majorHAnsi" w:hAnsiTheme="majorHAnsi" w:eastAsiaTheme="majorEastAsia" w:cstheme="majorBidi"/>
        <w:b/>
        <w:bCs/>
      </w:rPr>
      <w:tblPr/>
      <w:tcPr>
        <w:tcBorders>
          <w:top w:val="single" w:color="4472C4" w:themeColor="accent1" w:sz="8" w:space="0"/>
          <w:left w:val="single" w:color="4472C4" w:themeColor="accent1" w:sz="8" w:space="0"/>
          <w:bottom w:val="single" w:color="4472C4" w:themeColor="accent1" w:sz="18" w:space="0"/>
          <w:right w:val="single" w:color="4472C4" w:themeColor="accent1" w:sz="8" w:space="0"/>
          <w:insideH w:val="nil"/>
          <w:insideV w:val="single" w:sz="8" w:space="0"/>
        </w:tcBorders>
      </w:tcPr>
    </w:tblStylePr>
    <w:tblStylePr w:type="lastRow">
      <w:pPr>
        <w:spacing w:before="0" w:beforeLines="0" w:beforeAutospacing="0" w:after="0" w:afterLines="0" w:afterAutospacing="0" w:line="240" w:lineRule="auto"/>
      </w:pPr>
      <w:rPr>
        <w:rFonts w:hint="default" w:asciiTheme="majorHAnsi" w:hAnsiTheme="majorHAnsi" w:eastAsiaTheme="majorEastAsia" w:cstheme="majorBidi"/>
        <w:b/>
        <w:bCs/>
      </w:rPr>
      <w:tblPr/>
      <w:tcPr>
        <w:tcBorders>
          <w:top w:val="double" w:color="4472C4" w:themeColor="accent1" w:sz="6" w:space="0"/>
          <w:left w:val="single" w:color="4472C4" w:themeColor="accent1" w:sz="8" w:space="0"/>
          <w:bottom w:val="single" w:color="4472C4" w:themeColor="accent1" w:sz="8" w:space="0"/>
          <w:right w:val="single" w:color="4472C4" w:themeColor="accent1" w:sz="8" w:space="0"/>
          <w:insideH w:val="nil"/>
          <w:insideV w:val="single" w:sz="8" w:space="0"/>
        </w:tcBorders>
      </w:tcPr>
    </w:tblStylePr>
    <w:tblStylePr w:type="firstCol">
      <w:rPr>
        <w:rFonts w:hint="default" w:asciiTheme="majorHAnsi" w:hAnsiTheme="majorHAnsi" w:eastAsiaTheme="majorEastAsia" w:cstheme="majorBidi"/>
        <w:b/>
        <w:bCs/>
      </w:rPr>
    </w:tblStylePr>
    <w:tblStylePr w:type="lastCol">
      <w:rPr>
        <w:rFonts w:hint="default" w:asciiTheme="majorHAnsi" w:hAnsiTheme="majorHAnsi" w:eastAsiaTheme="majorEastAsia" w:cstheme="majorBidi"/>
        <w:b/>
        <w:bCs/>
      </w:rPr>
      <w:tblPr/>
      <w:tcPr>
        <w:tcBorders>
          <w:top w:val="single" w:color="4472C4" w:themeColor="accent1" w:sz="8" w:space="0"/>
          <w:left w:val="single" w:color="4472C4" w:themeColor="accent1" w:sz="8" w:space="0"/>
          <w:bottom w:val="single" w:color="4472C4" w:themeColor="accent1" w:sz="8" w:space="0"/>
          <w:right w:val="single" w:color="4472C4" w:themeColor="accent1" w:sz="8" w:space="0"/>
        </w:tcBorders>
      </w:tcPr>
    </w:tblStylePr>
    <w:tblStylePr w:type="band1Vert">
      <w:tblPr/>
      <w:tcPr>
        <w:tcBorders>
          <w:top w:val="single" w:color="4472C4" w:themeColor="accent1" w:sz="8" w:space="0"/>
          <w:left w:val="single" w:color="4472C4" w:themeColor="accent1" w:sz="8" w:space="0"/>
          <w:bottom w:val="single" w:color="4472C4" w:themeColor="accent1" w:sz="8" w:space="0"/>
          <w:right w:val="single" w:color="4472C4" w:themeColor="accent1" w:sz="8" w:space="0"/>
        </w:tcBorders>
        <w:shd w:val="clear" w:color="auto" w:fill="D0DCF0" w:themeFill="accent1" w:themeFillTint="3F"/>
      </w:tcPr>
    </w:tblStylePr>
    <w:tblStylePr w:type="band1Horz">
      <w:tblPr/>
      <w:tcPr>
        <w:tcBorders>
          <w:top w:val="single" w:color="4472C4" w:themeColor="accent1" w:sz="8" w:space="0"/>
          <w:left w:val="single" w:color="4472C4" w:themeColor="accent1" w:sz="8" w:space="0"/>
          <w:bottom w:val="single" w:color="4472C4" w:themeColor="accent1" w:sz="8" w:space="0"/>
          <w:right w:val="single" w:color="4472C4" w:themeColor="accent1" w:sz="8" w:space="0"/>
          <w:insideV w:val="single" w:sz="8" w:space="0"/>
        </w:tcBorders>
        <w:shd w:val="clear" w:color="auto" w:fill="D0DCF0" w:themeFill="accent1" w:themeFillTint="3F"/>
      </w:tcPr>
    </w:tblStylePr>
    <w:tblStylePr w:type="band2Horz">
      <w:tblPr/>
      <w:tcPr>
        <w:tcBorders>
          <w:top w:val="single" w:color="4472C4" w:themeColor="accent1" w:sz="8" w:space="0"/>
          <w:left w:val="single" w:color="4472C4" w:themeColor="accent1" w:sz="8" w:space="0"/>
          <w:bottom w:val="single" w:color="4472C4" w:themeColor="accent1" w:sz="8" w:space="0"/>
          <w:right w:val="single" w:color="4472C4" w:themeColor="accent1" w:sz="8" w:space="0"/>
          <w:insideV w:val="single" w:sz="8" w:space="0"/>
        </w:tcBorders>
      </w:tcPr>
    </w:tblStyle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90</Words>
  <Characters>519</Characters>
  <Lines>4</Lines>
  <Paragraphs>1</Paragraphs>
  <TotalTime>0</TotalTime>
  <ScaleCrop>false</ScaleCrop>
  <LinksUpToDate>false</LinksUpToDate>
  <CharactersWithSpaces>608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2024-04-01T02:24:00Z</dcterms:created>
  <dc:creator>春城 杜</dc:creator>
  <cp:lastModifiedBy>一目～五先生</cp:lastModifiedBy>
  <dcterms:modified xsi:type="dcterms:W3CDTF">2024-04-03T09:59:43Z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C43FF124905B4B8DADB681361526CD67_12</vt:lpwstr>
  </property>
</Properties>
</file>