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编写单位：衡水板业东科机电有限责任公司                 </w:t>
      </w:r>
      <w:r>
        <w:rPr>
          <w:rFonts w:hint="eastAsia"/>
        </w:rPr>
        <w:t xml:space="preserve">2024 年07 月 </w:t>
      </w:r>
      <w:r>
        <w:rPr>
          <w:rFonts w:hint="eastAsia"/>
          <w:lang w:val="en-US" w:eastAsia="zh-CN"/>
        </w:rPr>
        <w:t>17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黑体" w:hAnsi="宋体" w:eastAsia="黑体"/>
                <w:color w:val="FF0000"/>
                <w:kern w:val="0"/>
              </w:rPr>
              <w:t>JYGK202407006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辅料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-气体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衡水板业东科机电有限责任公司2024年08月01日至2025年01月31日需要的辅料-气体</w:t>
            </w:r>
            <w:r>
              <w:rPr>
                <w:rFonts w:hint="eastAsia" w:ascii="宋体" w:hAnsi="宋体"/>
                <w:kern w:val="0"/>
                <w:szCs w:val="21"/>
              </w:rPr>
              <w:t>进行招标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2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付款方式：验收合格后供方提供13%增值税专用发票。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挂账后下月定期付款，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付承兑。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报价执行有效期6个月。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</w:rPr>
              <w:t>本次招标收取投标保证金5000元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本次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招标活动结束后无息退还；如果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标人放弃投标、哄抬标价、提供虚假材料、串标、中标后拒绝签订合同，招标方将没收投标保证金。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衡水板业东科机电有限责任公司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 账  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b/>
                <w:bCs/>
                <w:kern w:val="0"/>
              </w:rPr>
              <w:t>3、投标保证金交纳时间：报名时间截止后，待甲方通知5日内交纳投标保证金(公户对公户)</w:t>
            </w:r>
            <w:r>
              <w:rPr>
                <w:rFonts w:hint="eastAsia" w:ascii="宋体" w:hAnsi="宋体"/>
                <w:kern w:val="0"/>
              </w:rPr>
              <w:t>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sz w:val="24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1， 每个招标项目只允许有唯一报价。(付款方式：承兑)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2，（</w:t>
            </w: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李季15369055793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0318—</w:t>
            </w:r>
            <w:r>
              <w:rPr>
                <w:rFonts w:hint="eastAsia" w:ascii="宋体" w:hAnsi="宋体"/>
                <w:kern w:val="0"/>
                <w:highlight w:val="none"/>
              </w:rPr>
              <w:t>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2024.07.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22</w:t>
            </w:r>
            <w:bookmarkStart w:id="0" w:name="_GoBack"/>
            <w:bookmarkEnd w:id="0"/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填表人：王丽娜                                                             </w:t>
      </w:r>
    </w:p>
    <w:p/>
    <w:tbl>
      <w:tblPr>
        <w:tblStyle w:val="3"/>
        <w:tblW w:w="144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410"/>
        <w:gridCol w:w="2410"/>
        <w:gridCol w:w="2410"/>
        <w:gridCol w:w="2410"/>
        <w:gridCol w:w="2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编号【</w:t>
            </w:r>
            <w:r>
              <w:rPr>
                <w:rStyle w:val="5"/>
                <w:lang w:val="en-US" w:eastAsia="zh-CN" w:bidi="ar"/>
              </w:rPr>
              <w:t>JYGK202407006</w:t>
            </w:r>
            <w:r>
              <w:rPr>
                <w:rStyle w:val="6"/>
                <w:lang w:val="en-US" w:eastAsia="zh-CN" w:bidi="ar"/>
              </w:rPr>
              <w:t>】招标明细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交货地点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氧气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10个压力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  <w:tc>
          <w:tcPr>
            <w:tcW w:w="2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河北省衡水市裕华路29号/武邑县城开发区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税率13%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二氧化碳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20公斤/瓶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  <w:tc>
          <w:tcPr>
            <w:tcW w:w="2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税率13%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15公斤/瓶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  <w:tc>
          <w:tcPr>
            <w:tcW w:w="2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大瓶丙烷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50公斤/瓶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  <w:tc>
          <w:tcPr>
            <w:tcW w:w="2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液氧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公斤/瓶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  <w:tc>
          <w:tcPr>
            <w:tcW w:w="2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税率13%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气保焊混合气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110个压力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  <w:tc>
          <w:tcPr>
            <w:tcW w:w="2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税率13%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455A7E"/>
    <w:multiLevelType w:val="singleLevel"/>
    <w:tmpl w:val="83455A7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22876717"/>
    <w:rsid w:val="22876717"/>
    <w:rsid w:val="36603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/>
    </w:rPr>
  </w:style>
  <w:style w:type="character" w:customStyle="1" w:styleId="5">
    <w:name w:val="font31"/>
    <w:basedOn w:val="4"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  <w:style w:type="character" w:customStyle="1" w:styleId="6">
    <w:name w:val="font11"/>
    <w:basedOn w:val="4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758</Words>
  <Characters>894</Characters>
  <Lines>0</Lines>
  <Paragraphs>0</Paragraphs>
  <TotalTime>1</TotalTime>
  <ScaleCrop>false</ScaleCrop>
  <LinksUpToDate>false</LinksUpToDate>
  <CharactersWithSpaces>1044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2024-07-08T08:30:00Z</dcterms:created>
  <dc:creator>呼啸山庄</dc:creator>
  <cp:lastModifiedBy>呼啸山庄</cp:lastModifiedBy>
  <dcterms:modified xsi:type="dcterms:W3CDTF">2024-07-17T02:26:04Z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5A66D5283CE84A2683558E214296FE89_11</vt:lpwstr>
  </property>
</Properties>
</file>