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A5833">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2F009C67">
      <w:pPr>
        <w:spacing w:before="156" w:beforeLines="50"/>
        <w:ind w:firstLine="1260" w:firstLineChars="600"/>
        <w:rPr>
          <w:rFonts w:ascii="宋体" w:hAnsi="宋体"/>
          <w:b/>
        </w:rPr>
      </w:pPr>
      <w:r>
        <w:rPr>
          <w:rFonts w:hint="eastAsia" w:ascii="宋体" w:hAnsi="宋体"/>
          <w:kern w:val="0"/>
        </w:rPr>
        <w:t>编写单位： 安全部</w:t>
      </w:r>
      <w:r>
        <w:rPr>
          <w:rFonts w:hint="eastAsia" w:ascii="仿宋_GB2312" w:eastAsia="仿宋_GB2312"/>
          <w:sz w:val="18"/>
        </w:rPr>
        <w:t xml:space="preserve">                                                  </w:t>
      </w:r>
      <w:r>
        <w:rPr>
          <w:rFonts w:hint="eastAsia"/>
        </w:rPr>
        <w:t xml:space="preserve">     2025年</w:t>
      </w:r>
      <w:r>
        <w:rPr>
          <w:rFonts w:hint="eastAsia"/>
          <w:lang w:val="en-US" w:eastAsia="zh-CN"/>
        </w:rPr>
        <w:t>7</w:t>
      </w:r>
      <w:r>
        <w:rPr>
          <w:rFonts w:hint="eastAsia"/>
        </w:rPr>
        <w:t>月</w:t>
      </w:r>
      <w:r>
        <w:rPr>
          <w:rFonts w:hint="eastAsia"/>
          <w:lang w:val="en-US" w:eastAsia="zh-CN"/>
        </w:rPr>
        <w:t>1</w:t>
      </w:r>
      <w:r>
        <w:rPr>
          <w:rFonts w:hint="eastAsia"/>
        </w:rPr>
        <w:t xml:space="preserve">日                              </w:t>
      </w:r>
      <w:r>
        <w:rPr>
          <w:rFonts w:hint="eastAsia" w:ascii="宋体" w:hAnsi="宋体"/>
        </w:rPr>
        <w:t>生产经营002</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14:paraId="7A7716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2110" w:type="dxa"/>
            <w:vAlign w:val="center"/>
          </w:tcPr>
          <w:p w14:paraId="462ED38C">
            <w:pPr>
              <w:widowControl/>
              <w:jc w:val="center"/>
              <w:rPr>
                <w:rFonts w:ascii="宋体" w:hAnsi="宋体"/>
                <w:kern w:val="0"/>
              </w:rPr>
            </w:pPr>
            <w:r>
              <w:rPr>
                <w:rFonts w:hint="eastAsia" w:ascii="宋体" w:hAnsi="宋体"/>
                <w:kern w:val="0"/>
              </w:rPr>
              <w:t>招标编号</w:t>
            </w:r>
          </w:p>
        </w:tc>
        <w:tc>
          <w:tcPr>
            <w:tcW w:w="2315" w:type="dxa"/>
            <w:vAlign w:val="center"/>
          </w:tcPr>
          <w:p w14:paraId="353CE1E1">
            <w:pPr>
              <w:widowControl/>
              <w:jc w:val="center"/>
              <w:rPr>
                <w:rFonts w:ascii="宋体"/>
                <w:kern w:val="0"/>
              </w:rPr>
            </w:pPr>
            <w:r>
              <w:rPr>
                <w:rFonts w:hint="eastAsia" w:ascii="宋体" w:hAnsi="宋体"/>
                <w:color w:val="000000"/>
                <w:kern w:val="0"/>
                <w:szCs w:val="21"/>
              </w:rPr>
              <w:t>JYGK202506027</w:t>
            </w:r>
          </w:p>
        </w:tc>
        <w:tc>
          <w:tcPr>
            <w:tcW w:w="1874" w:type="dxa"/>
            <w:vAlign w:val="center"/>
          </w:tcPr>
          <w:p w14:paraId="66348C8E">
            <w:pPr>
              <w:widowControl/>
              <w:jc w:val="center"/>
              <w:rPr>
                <w:rFonts w:ascii="宋体" w:hAnsi="宋体"/>
                <w:kern w:val="0"/>
              </w:rPr>
            </w:pPr>
            <w:r>
              <w:rPr>
                <w:rFonts w:hint="eastAsia" w:ascii="宋体" w:hAnsi="宋体"/>
                <w:color w:val="000000"/>
                <w:kern w:val="0"/>
                <w:szCs w:val="21"/>
              </w:rPr>
              <w:t>招标项目名称</w:t>
            </w:r>
          </w:p>
        </w:tc>
        <w:tc>
          <w:tcPr>
            <w:tcW w:w="7056" w:type="dxa"/>
            <w:gridSpan w:val="3"/>
            <w:vAlign w:val="center"/>
          </w:tcPr>
          <w:p w14:paraId="68ECBAF4">
            <w:pPr>
              <w:widowControl/>
              <w:jc w:val="center"/>
              <w:rPr>
                <w:rFonts w:ascii="宋体" w:hAnsi="宋体"/>
                <w:kern w:val="0"/>
              </w:rPr>
            </w:pPr>
            <w:r>
              <w:rPr>
                <w:rFonts w:hint="eastAsia" w:ascii="宋体" w:hAnsi="宋体" w:cs="宋体"/>
                <w:color w:val="000000"/>
                <w:kern w:val="0"/>
                <w:szCs w:val="21"/>
              </w:rPr>
              <w:t>安全生产标准化（二级）评审咨询服务</w:t>
            </w:r>
          </w:p>
        </w:tc>
      </w:tr>
      <w:tr w14:paraId="4BBAF2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14:paraId="130FFE38">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14:paraId="5DC6A3B1">
            <w:pPr>
              <w:widowControl/>
              <w:spacing w:line="240" w:lineRule="exact"/>
              <w:jc w:val="left"/>
              <w:rPr>
                <w:rFonts w:ascii="宋体" w:hAnsi="宋体"/>
                <w:kern w:val="0"/>
              </w:rPr>
            </w:pPr>
            <w:r>
              <w:rPr>
                <w:rFonts w:hint="eastAsia"/>
              </w:rPr>
              <w:t>为进一步规范公司安全生产管理，提升安全标准化管理水平，根据</w:t>
            </w:r>
            <w:r>
              <w:t>《国务院安委会关于深入开展企业安全生产标准化建设的指导意见》(安委[2011]4号)</w:t>
            </w:r>
            <w:r>
              <w:rPr>
                <w:rFonts w:hint="eastAsia"/>
              </w:rPr>
              <w:t>、</w:t>
            </w:r>
            <w:r>
              <w:t>《河北省企业安全生产标准化评审工作实施细则(试行)》</w:t>
            </w:r>
            <w:r>
              <w:rPr>
                <w:rFonts w:hint="eastAsia"/>
              </w:rPr>
              <w:t>、《河北省企业安全生产标准化工作管理办法》（冀应急政法〔2019〕100 号）的相关规定，衡水板业包装材料科技有限公司（原河钢集团衡水板业有限公司）安全生产二级标准化企业将于2025年11月5日到期，需在2025年底前完成安全生产二级标准化评审工作。</w:t>
            </w:r>
          </w:p>
        </w:tc>
      </w:tr>
      <w:tr w14:paraId="118FBA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14:paraId="4499B245">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14:paraId="0C9F3F4E">
            <w:pPr>
              <w:widowControl/>
              <w:spacing w:line="240" w:lineRule="exact"/>
              <w:jc w:val="left"/>
            </w:pPr>
            <w:r>
              <w:rPr>
                <w:rFonts w:hint="eastAsia"/>
              </w:rPr>
              <w:t>1.安全生产二级标准化咨询：协助开展创建安全生产标准化体系，按照评审标准及有关要求，辅导企业完善各要素资料，协助开展自评，编制自评报告，并完成申报工作。</w:t>
            </w:r>
          </w:p>
          <w:p w14:paraId="082A3261">
            <w:pPr>
              <w:widowControl/>
              <w:spacing w:line="240" w:lineRule="exact"/>
              <w:jc w:val="left"/>
            </w:pPr>
            <w:r>
              <w:rPr>
                <w:rFonts w:hint="eastAsia"/>
              </w:rPr>
              <w:t>2.安全生产二级标准化评审：按照《企业安全生产标准化基本规范》（GB/T 33000-2016）要求，开展文件资料审查，向评审组织单位报送评审计划方案，方案通过后，组织评审人员、各级监督专家、企业有关人员召开评审工作会议，按照评审工作流程及要求开展评审，出具检查问题清单，编制评审报告，并督促对检查出的问题进行整改，报送检查问题整改报告，向评审组织单位进行申报工作。</w:t>
            </w:r>
          </w:p>
          <w:p w14:paraId="23D7CE73">
            <w:pPr>
              <w:widowControl/>
              <w:spacing w:line="240" w:lineRule="exact"/>
              <w:jc w:val="left"/>
            </w:pPr>
            <w:r>
              <w:rPr>
                <w:rFonts w:hint="eastAsia"/>
              </w:rPr>
              <w:t>3、安全生产二级标准化咨询服务费用控制在5万元以内。</w:t>
            </w:r>
          </w:p>
        </w:tc>
      </w:tr>
      <w:tr w14:paraId="476BDD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14:paraId="219B0248">
            <w:pPr>
              <w:widowControl/>
              <w:jc w:val="center"/>
              <w:rPr>
                <w:rFonts w:ascii="宋体" w:hAnsi="宋体"/>
                <w:kern w:val="0"/>
              </w:rPr>
            </w:pPr>
            <w:r>
              <w:rPr>
                <w:rFonts w:hint="eastAsia" w:ascii="宋体" w:hAnsi="宋体"/>
                <w:kern w:val="0"/>
              </w:rPr>
              <w:t>合同主要条款</w:t>
            </w:r>
          </w:p>
        </w:tc>
        <w:tc>
          <w:tcPr>
            <w:tcW w:w="11245" w:type="dxa"/>
            <w:gridSpan w:val="5"/>
            <w:vAlign w:val="center"/>
          </w:tcPr>
          <w:p w14:paraId="10123AA8">
            <w:pPr>
              <w:tabs>
                <w:tab w:val="left" w:pos="5220"/>
              </w:tabs>
              <w:spacing w:line="240" w:lineRule="exact"/>
              <w:rPr>
                <w:sz w:val="24"/>
              </w:rPr>
            </w:pPr>
            <w:r>
              <w:rPr>
                <w:rFonts w:hint="eastAsia" w:ascii="宋体" w:hAnsi="宋体"/>
                <w:kern w:val="0"/>
              </w:rPr>
              <w:t>取得安全生产二级标准化企业证书或河北省应急管理厅发布《关于通过安全生产二级标准化评审》的公告后，乙方负责为甲方提供正规票据后，甲方6个月内将技术咨询服务费用一次性支付给乙方。（如未通过评审或未在省厅发布的公告名单中，乙方不予支付任何相关评审咨询服务费用）</w:t>
            </w:r>
          </w:p>
        </w:tc>
      </w:tr>
      <w:tr w14:paraId="0B4741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9" w:hRule="atLeast"/>
          <w:jc w:val="center"/>
        </w:trPr>
        <w:tc>
          <w:tcPr>
            <w:tcW w:w="2110" w:type="dxa"/>
            <w:vAlign w:val="center"/>
          </w:tcPr>
          <w:p w14:paraId="4866B81B">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14:paraId="2FEC7EDD">
            <w:pPr>
              <w:widowControl/>
              <w:spacing w:line="240" w:lineRule="exact"/>
              <w:jc w:val="left"/>
              <w:rPr>
                <w:rFonts w:ascii="宋体" w:hAnsi="宋体"/>
                <w:color w:val="000000" w:themeColor="text1"/>
                <w:kern w:val="0"/>
              </w:rPr>
            </w:pPr>
            <w:r>
              <w:rPr>
                <w:rFonts w:hint="eastAsia" w:ascii="宋体" w:hAnsi="宋体"/>
                <w:kern w:val="0"/>
              </w:rPr>
              <w:t>评审咨询服务费最低者中标，不接受总体报价。</w:t>
            </w:r>
          </w:p>
        </w:tc>
      </w:tr>
      <w:tr w14:paraId="6A84FB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45" w:hRule="atLeast"/>
          <w:jc w:val="center"/>
        </w:trPr>
        <w:tc>
          <w:tcPr>
            <w:tcW w:w="2110" w:type="dxa"/>
            <w:tcBorders>
              <w:top w:val="single" w:color="auto" w:sz="4" w:space="0"/>
            </w:tcBorders>
            <w:vAlign w:val="center"/>
          </w:tcPr>
          <w:p w14:paraId="6A7F3503">
            <w:pPr>
              <w:widowControl/>
              <w:jc w:val="center"/>
              <w:rPr>
                <w:rFonts w:ascii="宋体" w:hAnsi="宋体"/>
                <w:kern w:val="0"/>
              </w:rPr>
            </w:pPr>
            <w:r>
              <w:rPr>
                <w:rFonts w:hint="eastAsia" w:ascii="宋体" w:hAnsi="宋体"/>
                <w:kern w:val="0"/>
              </w:rPr>
              <w:t>投标保证金</w:t>
            </w:r>
          </w:p>
        </w:tc>
        <w:tc>
          <w:tcPr>
            <w:tcW w:w="11245" w:type="dxa"/>
            <w:gridSpan w:val="5"/>
            <w:vAlign w:val="center"/>
          </w:tcPr>
          <w:p w14:paraId="21F86DE6">
            <w:pPr>
              <w:widowControl/>
              <w:spacing w:line="240" w:lineRule="exact"/>
              <w:rPr>
                <w:rFonts w:ascii="宋体" w:hAnsi="宋体"/>
                <w:kern w:val="0"/>
              </w:rPr>
            </w:pPr>
            <w:r>
              <w:rPr>
                <w:rFonts w:hint="eastAsia" w:ascii="宋体" w:hAnsi="宋体"/>
                <w:kern w:val="0"/>
              </w:rPr>
              <w:t xml:space="preserve">1. </w:t>
            </w:r>
            <w:r>
              <w:rPr>
                <w:rFonts w:hint="eastAsia" w:ascii="宋体" w:hAnsi="宋体"/>
                <w:b/>
                <w:kern w:val="0"/>
              </w:rPr>
              <w:t>本次招标收取投标保证金500元，</w:t>
            </w:r>
            <w:r>
              <w:rPr>
                <w:rFonts w:hint="eastAsia" w:ascii="宋体" w:hAnsi="宋体"/>
                <w:kern w:val="0"/>
              </w:rPr>
              <w:t>中标后投标保证金转为合同履约保证金，合同履行完毕后无息退还；如未中标则招标活动结束后无息退还；如果投标人放弃投标、哄抬标价、提供虚假材料、串标、中标后拒绝签订合同，招标方将没收投标保证金。</w:t>
            </w:r>
          </w:p>
          <w:p w14:paraId="738939B9">
            <w:pPr>
              <w:widowControl/>
              <w:spacing w:line="240" w:lineRule="exact"/>
              <w:rPr>
                <w:rFonts w:ascii="宋体" w:hAnsi="宋体"/>
                <w:kern w:val="0"/>
              </w:rPr>
            </w:pPr>
            <w:r>
              <w:rPr>
                <w:rFonts w:hint="eastAsia" w:ascii="宋体" w:hAnsi="宋体"/>
                <w:kern w:val="0"/>
              </w:rPr>
              <w:t>2</w:t>
            </w:r>
            <w:r>
              <w:rPr>
                <w:rFonts w:hint="eastAsia" w:ascii="宋体" w:hAnsi="宋体"/>
                <w:b/>
                <w:kern w:val="0"/>
              </w:rPr>
              <w:t>.账户名称</w:t>
            </w:r>
            <w:r>
              <w:rPr>
                <w:rFonts w:hint="eastAsia" w:ascii="宋体" w:hAnsi="宋体"/>
                <w:kern w:val="0"/>
              </w:rPr>
              <w:t>：邯钢集团衡水薄板有限责任公司。金融机构名称：中国农业银行衡水西城支行。银行账号：50401001040013537。</w:t>
            </w:r>
          </w:p>
          <w:p w14:paraId="1715246A">
            <w:pPr>
              <w:widowControl/>
              <w:spacing w:line="240" w:lineRule="exact"/>
              <w:rPr>
                <w:rFonts w:ascii="宋体" w:hAnsi="宋体"/>
                <w:kern w:val="0"/>
              </w:rPr>
            </w:pPr>
            <w:r>
              <w:rPr>
                <w:rFonts w:hint="eastAsia" w:ascii="宋体" w:hAnsi="宋体"/>
                <w:kern w:val="0"/>
              </w:rPr>
              <w:t>3、</w:t>
            </w:r>
            <w:r>
              <w:rPr>
                <w:rFonts w:hint="eastAsia" w:ascii="宋体" w:hAnsi="宋体"/>
                <w:b/>
                <w:kern w:val="0"/>
              </w:rPr>
              <w:t>投标保证金交纳时间：</w:t>
            </w:r>
            <w:r>
              <w:rPr>
                <w:rFonts w:hint="eastAsia" w:ascii="宋体" w:hAnsi="宋体"/>
                <w:kern w:val="0"/>
              </w:rPr>
              <w:t>报名时间截止后，待甲方通知5日内交纳投标保证金(公户对公户)，否则不予发送招标文件。</w:t>
            </w:r>
          </w:p>
        </w:tc>
      </w:tr>
      <w:tr w14:paraId="4AA289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110" w:type="dxa"/>
            <w:vMerge w:val="restart"/>
            <w:vAlign w:val="center"/>
          </w:tcPr>
          <w:p w14:paraId="0CFF897D">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14:paraId="146EBA90">
            <w:pPr>
              <w:widowControl/>
              <w:spacing w:line="240" w:lineRule="exact"/>
              <w:rPr>
                <w:rFonts w:ascii="宋体" w:hAnsi="宋体" w:cs="宋体"/>
                <w:color w:val="000000"/>
                <w:kern w:val="0"/>
                <w:szCs w:val="21"/>
              </w:rPr>
            </w:pPr>
            <w:r>
              <w:rPr>
                <w:rFonts w:hint="eastAsia" w:ascii="宋体" w:hAnsi="宋体" w:cs="宋体"/>
                <w:color w:val="000000"/>
                <w:kern w:val="0"/>
                <w:szCs w:val="21"/>
              </w:rPr>
              <w:t>1、具有独立企业法人资格；</w:t>
            </w:r>
          </w:p>
          <w:p w14:paraId="27903EAD">
            <w:pPr>
              <w:widowControl/>
              <w:spacing w:line="240" w:lineRule="exact"/>
              <w:rPr>
                <w:rFonts w:ascii="宋体" w:hAnsi="宋体" w:cs="宋体"/>
                <w:color w:val="000000"/>
                <w:kern w:val="0"/>
                <w:szCs w:val="21"/>
              </w:rPr>
            </w:pPr>
            <w:r>
              <w:rPr>
                <w:rFonts w:hint="eastAsia" w:ascii="宋体" w:hAnsi="宋体" w:cs="宋体"/>
                <w:color w:val="000000"/>
                <w:kern w:val="0"/>
                <w:szCs w:val="21"/>
              </w:rPr>
              <w:t>2、具有安全生产标准化评审机构资质或安全评价资质的技术服务单位，业务范围内机械制造项目；</w:t>
            </w:r>
          </w:p>
          <w:p w14:paraId="1DAF53DA">
            <w:pPr>
              <w:widowControl/>
              <w:spacing w:line="240" w:lineRule="exact"/>
              <w:rPr>
                <w:rFonts w:ascii="宋体" w:hAnsi="宋体" w:cs="宋体"/>
                <w:color w:val="000000"/>
                <w:kern w:val="0"/>
                <w:szCs w:val="21"/>
              </w:rPr>
            </w:pPr>
            <w:r>
              <w:rPr>
                <w:rFonts w:hint="eastAsia" w:ascii="宋体" w:hAnsi="宋体" w:cs="宋体"/>
                <w:color w:val="000000"/>
                <w:kern w:val="0"/>
                <w:szCs w:val="21"/>
              </w:rPr>
              <w:t>3、具有相应安全评价师、注册安全工程师等职业技术人员</w:t>
            </w:r>
          </w:p>
          <w:p w14:paraId="01B45808">
            <w:pPr>
              <w:widowControl/>
              <w:spacing w:line="240" w:lineRule="exact"/>
              <w:rPr>
                <w:rFonts w:ascii="宋体" w:hAnsi="宋体" w:cs="宋体"/>
                <w:color w:val="000000"/>
                <w:kern w:val="0"/>
                <w:szCs w:val="21"/>
              </w:rPr>
            </w:pPr>
            <w:r>
              <w:rPr>
                <w:rFonts w:hint="eastAsia" w:ascii="宋体" w:hAnsi="宋体" w:cs="宋体"/>
                <w:color w:val="000000"/>
                <w:kern w:val="0"/>
                <w:szCs w:val="21"/>
              </w:rPr>
              <w:t>4、有能力承担安全生产二级标准化咨询服务，能够协助完成安全生产二级标准化评审工作，取得安全生产二级标准化证书或进入河北省应急管理厅安全生产二级标准化通过评审公告名单。</w:t>
            </w:r>
          </w:p>
          <w:p w14:paraId="74A8DAC0">
            <w:pPr>
              <w:widowControl/>
              <w:spacing w:line="240" w:lineRule="exact"/>
              <w:rPr>
                <w:rFonts w:ascii="宋体" w:hAnsi="宋体" w:cs="宋体"/>
                <w:color w:val="000000"/>
                <w:kern w:val="0"/>
                <w:szCs w:val="21"/>
              </w:rPr>
            </w:pPr>
            <w:r>
              <w:rPr>
                <w:rFonts w:hint="eastAsia" w:ascii="宋体" w:hAnsi="宋体" w:cs="宋体"/>
                <w:color w:val="000000"/>
                <w:kern w:val="0"/>
                <w:szCs w:val="21"/>
              </w:rPr>
              <w:t>5、具有大中型机械制造行业的相关工作业绩。</w:t>
            </w:r>
          </w:p>
        </w:tc>
      </w:tr>
      <w:tr w14:paraId="125480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110" w:type="dxa"/>
            <w:vMerge w:val="continue"/>
            <w:vAlign w:val="center"/>
          </w:tcPr>
          <w:p w14:paraId="2143F4B5">
            <w:pPr>
              <w:widowControl/>
              <w:jc w:val="center"/>
              <w:rPr>
                <w:rFonts w:ascii="宋体" w:hAnsi="宋体"/>
                <w:kern w:val="0"/>
              </w:rPr>
            </w:pPr>
          </w:p>
        </w:tc>
        <w:tc>
          <w:tcPr>
            <w:tcW w:w="11245" w:type="dxa"/>
            <w:gridSpan w:val="5"/>
            <w:tcBorders>
              <w:top w:val="single" w:color="auto" w:sz="4" w:space="0"/>
            </w:tcBorders>
            <w:vAlign w:val="center"/>
          </w:tcPr>
          <w:p w14:paraId="0C018C62">
            <w:pPr>
              <w:widowControl/>
              <w:spacing w:line="240" w:lineRule="exact"/>
              <w:rPr>
                <w:rFonts w:ascii="宋体" w:hAnsi="宋体" w:cs="宋体"/>
                <w:color w:val="000000"/>
                <w:kern w:val="0"/>
                <w:szCs w:val="21"/>
              </w:rPr>
            </w:pPr>
            <w:r>
              <w:rPr>
                <w:rFonts w:hint="eastAsia" w:ascii="宋体" w:hAnsi="宋体" w:cs="宋体"/>
                <w:color w:val="000000"/>
                <w:kern w:val="0"/>
                <w:szCs w:val="21"/>
              </w:rPr>
              <w:t>1. 报名单位须将营业执照、资质证明材料、授权委托书(应注明联系电话、电子邮件)、</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报名联系人身份证、资质文件、业绩复印件、工作业绩，发送hbliji@hbisco.com</w:t>
            </w:r>
            <w:r>
              <w:rPr>
                <w:rFonts w:hint="eastAsia" w:ascii="宋体" w:hAnsi="宋体"/>
                <w:kern w:val="0"/>
              </w:rPr>
              <w:fldChar w:fldCharType="end"/>
            </w:r>
            <w:r>
              <w:rPr>
                <w:rFonts w:hint="eastAsia" w:ascii="宋体" w:hAnsi="宋体"/>
                <w:kern w:val="0"/>
              </w:rPr>
              <w:t>邮箱</w:t>
            </w:r>
          </w:p>
          <w:p w14:paraId="5773E3EC">
            <w:pPr>
              <w:widowControl/>
              <w:spacing w:line="240" w:lineRule="exact"/>
              <w:rPr>
                <w:rFonts w:ascii="宋体" w:hAnsi="宋体" w:cs="宋体"/>
                <w:color w:val="000000"/>
                <w:kern w:val="0"/>
                <w:szCs w:val="21"/>
              </w:rPr>
            </w:pPr>
            <w:r>
              <w:rPr>
                <w:rFonts w:hint="eastAsia" w:ascii="宋体" w:hAnsi="宋体" w:cs="宋体"/>
                <w:color w:val="000000"/>
                <w:kern w:val="0"/>
                <w:szCs w:val="21"/>
              </w:rPr>
              <w:t>特别注意：邮件主题标注招标项目名称、招标编号、报名单位全称。</w:t>
            </w:r>
          </w:p>
          <w:p w14:paraId="6DC65730">
            <w:pPr>
              <w:spacing w:line="240" w:lineRule="exact"/>
              <w:rPr>
                <w:rFonts w:ascii="宋体" w:hAnsi="宋体"/>
                <w:kern w:val="0"/>
              </w:rPr>
            </w:pPr>
            <w:r>
              <w:rPr>
                <w:rFonts w:hint="eastAsia" w:ascii="宋体" w:hAnsi="宋体"/>
                <w:kern w:val="0"/>
              </w:rPr>
              <w:t>2.所有电子版文件须盖公章，否则视为无效报名。</w:t>
            </w:r>
          </w:p>
          <w:p w14:paraId="2F275ECA">
            <w:pPr>
              <w:widowControl/>
              <w:spacing w:line="240" w:lineRule="exact"/>
              <w:rPr>
                <w:rFonts w:ascii="宋体" w:hAnsi="宋体"/>
                <w:kern w:val="0"/>
              </w:rPr>
            </w:pPr>
            <w:r>
              <w:rPr>
                <w:rFonts w:hint="eastAsia" w:hAnsi="宋体"/>
                <w:kern w:val="0"/>
              </w:rPr>
              <w:t>3.本项目不允许分包、转包，不接受联合体报价</w:t>
            </w:r>
          </w:p>
        </w:tc>
      </w:tr>
      <w:tr w14:paraId="7C8C8E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14:paraId="2D29BFA2">
            <w:pPr>
              <w:widowControl/>
              <w:spacing w:line="240" w:lineRule="exact"/>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14:paraId="42C75BA2">
            <w:pPr>
              <w:widowControl/>
              <w:spacing w:line="240" w:lineRule="exact"/>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14:paraId="1F2A0749">
            <w:pPr>
              <w:spacing w:line="240" w:lineRule="exact"/>
              <w:ind w:left="87"/>
              <w:jc w:val="center"/>
              <w:rPr>
                <w:rFonts w:ascii="宋体" w:hAnsi="宋体"/>
                <w:kern w:val="0"/>
              </w:rPr>
            </w:pPr>
            <w:r>
              <w:rPr>
                <w:rFonts w:hint="eastAsia" w:ascii="宋体" w:hAnsi="宋体"/>
                <w:kern w:val="0"/>
              </w:rPr>
              <w:t>报名联系人</w:t>
            </w:r>
          </w:p>
        </w:tc>
        <w:tc>
          <w:tcPr>
            <w:tcW w:w="5031" w:type="dxa"/>
            <w:vAlign w:val="center"/>
          </w:tcPr>
          <w:p w14:paraId="52F56A31">
            <w:pPr>
              <w:widowControl/>
              <w:spacing w:line="240" w:lineRule="exact"/>
              <w:jc w:val="center"/>
              <w:rPr>
                <w:rFonts w:ascii="宋体"/>
                <w:kern w:val="0"/>
              </w:rPr>
            </w:pPr>
            <w:r>
              <w:rPr>
                <w:rFonts w:hint="eastAsia" w:ascii="宋体"/>
                <w:kern w:val="0"/>
              </w:rPr>
              <w:t>李季，15369055793</w:t>
            </w:r>
          </w:p>
        </w:tc>
      </w:tr>
      <w:tr w14:paraId="7326B9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14:paraId="20EE2B69">
            <w:pPr>
              <w:widowControl/>
              <w:spacing w:line="240" w:lineRule="exact"/>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14:paraId="248090EE">
            <w:pPr>
              <w:widowControl/>
              <w:spacing w:line="240" w:lineRule="exact"/>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14:paraId="4F4C19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14:paraId="331B0AFD">
            <w:pPr>
              <w:widowControl/>
              <w:spacing w:line="240" w:lineRule="exact"/>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14:paraId="47BBDB20">
            <w:pPr>
              <w:widowControl/>
              <w:spacing w:line="240" w:lineRule="exact"/>
              <w:jc w:val="center"/>
              <w:rPr>
                <w:rFonts w:hint="eastAsia" w:ascii="宋体" w:hAnsi="宋体" w:eastAsia="宋体"/>
                <w:kern w:val="0"/>
                <w:lang w:eastAsia="zh-CN"/>
              </w:rPr>
            </w:pPr>
            <w:r>
              <w:rPr>
                <w:rFonts w:hint="eastAsia" w:ascii="宋体" w:hAnsi="宋体"/>
                <w:kern w:val="0"/>
              </w:rPr>
              <w:t>2025.</w:t>
            </w:r>
            <w:r>
              <w:rPr>
                <w:rFonts w:hint="eastAsia" w:ascii="宋体" w:hAnsi="宋体"/>
                <w:kern w:val="0"/>
                <w:lang w:val="en-US" w:eastAsia="zh-CN"/>
              </w:rPr>
              <w:t>7</w:t>
            </w:r>
            <w:bookmarkStart w:id="0" w:name="_GoBack"/>
            <w:bookmarkEnd w:id="0"/>
            <w:r>
              <w:rPr>
                <w:rFonts w:hint="eastAsia" w:ascii="宋体" w:hAnsi="宋体"/>
                <w:kern w:val="0"/>
              </w:rPr>
              <w:t>.</w:t>
            </w:r>
            <w:r>
              <w:rPr>
                <w:rFonts w:hint="eastAsia" w:ascii="宋体" w:hAnsi="宋体"/>
                <w:kern w:val="0"/>
                <w:lang w:val="en-US" w:eastAsia="zh-CN"/>
              </w:rPr>
              <w:t>5</w:t>
            </w:r>
          </w:p>
        </w:tc>
      </w:tr>
    </w:tbl>
    <w:p w14:paraId="66850FCB">
      <w:pPr>
        <w:spacing w:line="500" w:lineRule="exact"/>
        <w:ind w:left="-38" w:leftChars="-33" w:hanging="31" w:hangingChars="15"/>
      </w:pPr>
      <w:r>
        <w:rPr>
          <w:rFonts w:hint="eastAsia"/>
        </w:rPr>
        <w:t xml:space="preserve">           填表人：张红奎                                                            </w:t>
      </w:r>
    </w:p>
    <w:sectPr>
      <w:pgSz w:w="16838" w:h="11906" w:orient="landscape"/>
      <w:pgMar w:top="425" w:right="720" w:bottom="567"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232C6"/>
    <w:rsid w:val="00011A1B"/>
    <w:rsid w:val="000327B6"/>
    <w:rsid w:val="000327B9"/>
    <w:rsid w:val="000407FE"/>
    <w:rsid w:val="00054837"/>
    <w:rsid w:val="00080A8E"/>
    <w:rsid w:val="0008254E"/>
    <w:rsid w:val="00096941"/>
    <w:rsid w:val="000A308B"/>
    <w:rsid w:val="000B10C4"/>
    <w:rsid w:val="000B4383"/>
    <w:rsid w:val="000C33B9"/>
    <w:rsid w:val="001014F6"/>
    <w:rsid w:val="00115BBE"/>
    <w:rsid w:val="00142EC2"/>
    <w:rsid w:val="0016415E"/>
    <w:rsid w:val="0016576F"/>
    <w:rsid w:val="001755C7"/>
    <w:rsid w:val="00181218"/>
    <w:rsid w:val="001D58A5"/>
    <w:rsid w:val="001E2495"/>
    <w:rsid w:val="001F0BC1"/>
    <w:rsid w:val="001F5881"/>
    <w:rsid w:val="001F6D85"/>
    <w:rsid w:val="00220486"/>
    <w:rsid w:val="0022699F"/>
    <w:rsid w:val="00230786"/>
    <w:rsid w:val="00232212"/>
    <w:rsid w:val="002327BB"/>
    <w:rsid w:val="00235856"/>
    <w:rsid w:val="002372B2"/>
    <w:rsid w:val="002459D5"/>
    <w:rsid w:val="00283D2D"/>
    <w:rsid w:val="002A5EDD"/>
    <w:rsid w:val="002A6EF0"/>
    <w:rsid w:val="002B080A"/>
    <w:rsid w:val="002B153C"/>
    <w:rsid w:val="002C277C"/>
    <w:rsid w:val="002D1BC7"/>
    <w:rsid w:val="002D3A6F"/>
    <w:rsid w:val="00302991"/>
    <w:rsid w:val="003041AD"/>
    <w:rsid w:val="00317A98"/>
    <w:rsid w:val="00321D8F"/>
    <w:rsid w:val="0032239E"/>
    <w:rsid w:val="00324FD0"/>
    <w:rsid w:val="00350E55"/>
    <w:rsid w:val="00382E0F"/>
    <w:rsid w:val="003921A0"/>
    <w:rsid w:val="003A0FBE"/>
    <w:rsid w:val="00403672"/>
    <w:rsid w:val="00414E31"/>
    <w:rsid w:val="004463F3"/>
    <w:rsid w:val="0046704A"/>
    <w:rsid w:val="00477E35"/>
    <w:rsid w:val="00493B55"/>
    <w:rsid w:val="00493FC0"/>
    <w:rsid w:val="00510529"/>
    <w:rsid w:val="00517E4D"/>
    <w:rsid w:val="00522D7E"/>
    <w:rsid w:val="00530ED5"/>
    <w:rsid w:val="00553CC2"/>
    <w:rsid w:val="005968E6"/>
    <w:rsid w:val="005A4A4E"/>
    <w:rsid w:val="005C459B"/>
    <w:rsid w:val="005D01C1"/>
    <w:rsid w:val="005D6078"/>
    <w:rsid w:val="005D610F"/>
    <w:rsid w:val="005E5B41"/>
    <w:rsid w:val="005F3469"/>
    <w:rsid w:val="005F7CB9"/>
    <w:rsid w:val="00607C4D"/>
    <w:rsid w:val="00621796"/>
    <w:rsid w:val="00626D0B"/>
    <w:rsid w:val="006410A9"/>
    <w:rsid w:val="00641BB3"/>
    <w:rsid w:val="006537B3"/>
    <w:rsid w:val="006722D7"/>
    <w:rsid w:val="0067473E"/>
    <w:rsid w:val="006A30BB"/>
    <w:rsid w:val="006B1560"/>
    <w:rsid w:val="006C5D64"/>
    <w:rsid w:val="006E0935"/>
    <w:rsid w:val="006E3F97"/>
    <w:rsid w:val="006F4774"/>
    <w:rsid w:val="006F6285"/>
    <w:rsid w:val="007231EB"/>
    <w:rsid w:val="00731ACD"/>
    <w:rsid w:val="007460D9"/>
    <w:rsid w:val="00751B95"/>
    <w:rsid w:val="0078181D"/>
    <w:rsid w:val="00794F61"/>
    <w:rsid w:val="007A5DE6"/>
    <w:rsid w:val="007B6BC2"/>
    <w:rsid w:val="007F6A06"/>
    <w:rsid w:val="00802317"/>
    <w:rsid w:val="00805DFB"/>
    <w:rsid w:val="008100F4"/>
    <w:rsid w:val="00862021"/>
    <w:rsid w:val="008755F3"/>
    <w:rsid w:val="008860F7"/>
    <w:rsid w:val="00891DB1"/>
    <w:rsid w:val="00892022"/>
    <w:rsid w:val="0089770C"/>
    <w:rsid w:val="008A68C5"/>
    <w:rsid w:val="008C761B"/>
    <w:rsid w:val="008E319D"/>
    <w:rsid w:val="009039E3"/>
    <w:rsid w:val="00904E74"/>
    <w:rsid w:val="00912E94"/>
    <w:rsid w:val="00922E59"/>
    <w:rsid w:val="00924C23"/>
    <w:rsid w:val="00937556"/>
    <w:rsid w:val="00971809"/>
    <w:rsid w:val="00973002"/>
    <w:rsid w:val="00976A9E"/>
    <w:rsid w:val="00991052"/>
    <w:rsid w:val="00996C33"/>
    <w:rsid w:val="009B52F9"/>
    <w:rsid w:val="009B67C6"/>
    <w:rsid w:val="009C7F85"/>
    <w:rsid w:val="00A10E11"/>
    <w:rsid w:val="00A164CC"/>
    <w:rsid w:val="00A232C6"/>
    <w:rsid w:val="00A315DF"/>
    <w:rsid w:val="00A31E8E"/>
    <w:rsid w:val="00A37D6C"/>
    <w:rsid w:val="00A421CE"/>
    <w:rsid w:val="00A519A3"/>
    <w:rsid w:val="00A54392"/>
    <w:rsid w:val="00A54B57"/>
    <w:rsid w:val="00A66AF6"/>
    <w:rsid w:val="00A72C20"/>
    <w:rsid w:val="00A83CE8"/>
    <w:rsid w:val="00A940C0"/>
    <w:rsid w:val="00AD06DF"/>
    <w:rsid w:val="00AD4863"/>
    <w:rsid w:val="00AD5CFA"/>
    <w:rsid w:val="00AF5E84"/>
    <w:rsid w:val="00AF5FC6"/>
    <w:rsid w:val="00B02A0B"/>
    <w:rsid w:val="00B30419"/>
    <w:rsid w:val="00B32124"/>
    <w:rsid w:val="00B35CF0"/>
    <w:rsid w:val="00B372BD"/>
    <w:rsid w:val="00B4404C"/>
    <w:rsid w:val="00B76F97"/>
    <w:rsid w:val="00BB0FC3"/>
    <w:rsid w:val="00BD3CB8"/>
    <w:rsid w:val="00BE0156"/>
    <w:rsid w:val="00BE7789"/>
    <w:rsid w:val="00C12563"/>
    <w:rsid w:val="00C215BA"/>
    <w:rsid w:val="00C423C4"/>
    <w:rsid w:val="00C46DBD"/>
    <w:rsid w:val="00C54E10"/>
    <w:rsid w:val="00C82C9D"/>
    <w:rsid w:val="00C87553"/>
    <w:rsid w:val="00C9204C"/>
    <w:rsid w:val="00CA0BA3"/>
    <w:rsid w:val="00CA0DDF"/>
    <w:rsid w:val="00CB756C"/>
    <w:rsid w:val="00CC4A24"/>
    <w:rsid w:val="00CD2C75"/>
    <w:rsid w:val="00CF6D28"/>
    <w:rsid w:val="00CF7C6E"/>
    <w:rsid w:val="00D017A2"/>
    <w:rsid w:val="00D620C7"/>
    <w:rsid w:val="00D709BD"/>
    <w:rsid w:val="00D72DB0"/>
    <w:rsid w:val="00D7436D"/>
    <w:rsid w:val="00D86B4B"/>
    <w:rsid w:val="00D87F60"/>
    <w:rsid w:val="00D96B6C"/>
    <w:rsid w:val="00DA1F4E"/>
    <w:rsid w:val="00DC5F14"/>
    <w:rsid w:val="00E17696"/>
    <w:rsid w:val="00E25595"/>
    <w:rsid w:val="00E54AE3"/>
    <w:rsid w:val="00E63DC6"/>
    <w:rsid w:val="00E64FFB"/>
    <w:rsid w:val="00E704E2"/>
    <w:rsid w:val="00E72E12"/>
    <w:rsid w:val="00E76DC6"/>
    <w:rsid w:val="00EA276A"/>
    <w:rsid w:val="00EC1454"/>
    <w:rsid w:val="00EE6EDC"/>
    <w:rsid w:val="00F0668B"/>
    <w:rsid w:val="00F204D4"/>
    <w:rsid w:val="00F55065"/>
    <w:rsid w:val="00F61252"/>
    <w:rsid w:val="00F7317B"/>
    <w:rsid w:val="00FA5D37"/>
    <w:rsid w:val="00FB0385"/>
    <w:rsid w:val="00FB25AE"/>
    <w:rsid w:val="00FC59DF"/>
    <w:rsid w:val="00FD616E"/>
    <w:rsid w:val="00FE04AC"/>
    <w:rsid w:val="00FE07A2"/>
    <w:rsid w:val="0E940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440" w:lineRule="exact"/>
      <w:ind w:firstLine="570"/>
    </w:pPr>
    <w:rPr>
      <w:sz w:val="28"/>
      <w:szCs w:val="20"/>
    </w:rPr>
  </w:style>
  <w:style w:type="paragraph" w:styleId="3">
    <w:name w:val="Plain Text"/>
    <w:basedOn w:val="1"/>
    <w:link w:val="13"/>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semiHidden/>
    <w:unhideWhenUsed/>
    <w:qFormat/>
    <w:uiPriority w:val="99"/>
    <w:rPr>
      <w:color w:val="0000FF"/>
      <w:u w:val="single"/>
    </w:rPr>
  </w:style>
  <w:style w:type="character" w:customStyle="1" w:styleId="9">
    <w:name w:val="页眉 Char"/>
    <w:basedOn w:val="7"/>
    <w:link w:val="5"/>
    <w:qFormat/>
    <w:uiPriority w:val="99"/>
    <w:rPr>
      <w:rFonts w:ascii="Times New Roman" w:hAnsi="Times New Roman" w:eastAsia="宋体" w:cs="Times New Roman"/>
      <w:sz w:val="18"/>
      <w:szCs w:val="18"/>
    </w:rPr>
  </w:style>
  <w:style w:type="character" w:customStyle="1" w:styleId="10">
    <w:name w:val="页脚 Char"/>
    <w:basedOn w:val="7"/>
    <w:link w:val="4"/>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正文文本缩进 Char"/>
    <w:basedOn w:val="7"/>
    <w:link w:val="2"/>
    <w:qFormat/>
    <w:uiPriority w:val="0"/>
    <w:rPr>
      <w:rFonts w:ascii="Times New Roman" w:hAnsi="Times New Roman" w:eastAsia="宋体" w:cs="Times New Roman"/>
      <w:sz w:val="28"/>
      <w:szCs w:val="20"/>
    </w:rPr>
  </w:style>
  <w:style w:type="character" w:customStyle="1" w:styleId="13">
    <w:name w:val="纯文本 Char"/>
    <w:basedOn w:val="7"/>
    <w:link w:val="3"/>
    <w:qFormat/>
    <w:uiPriority w:val="99"/>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8318B2-9054-4A39-9344-BAE94E9A6973}">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1291</Words>
  <Characters>1421</Characters>
  <Lines>12</Lines>
  <Paragraphs>3</Paragraphs>
  <TotalTime>481</TotalTime>
  <ScaleCrop>false</ScaleCrop>
  <LinksUpToDate>false</LinksUpToDate>
  <CharactersWithSpaces>1592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dcterms:modified xsi:type="dcterms:W3CDTF">2025-07-01T02:28:36Z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eyJoZGlkIjoiODc1NWNlYWNkMTk4MGU5YzdlMWM2ZWJiYTZhYjMxYmQiLCJ1c2VySWQiOiIyODgxNzE4NTQifQ==</vt:lpwstr>
  </property>
  <property fmtid="{D5CDD505-2E9C-101B-9397-08002B2CF9AE}" pid="3" name="KSOProductBuildVer">
    <vt:lpwstr>2052-12.1.0.21541</vt:lpwstr>
  </property>
  <property fmtid="{D5CDD505-2E9C-101B-9397-08002B2CF9AE}" pid="4" name="ICV">
    <vt:lpwstr>892D7DA9FBFC4EFD9499EEE1026083F5_12</vt:lpwstr>
  </property>
</Properties>
</file>